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6FB71" w14:textId="77777777" w:rsidR="00A80AB2" w:rsidRDefault="005F1359" w:rsidP="00A80AB2">
      <w:pPr>
        <w:pStyle w:val="MyHeading"/>
      </w:pPr>
      <w:r>
        <w:t xml:space="preserve"> </w:t>
      </w:r>
      <w:r w:rsidR="0039005B">
        <w:rPr>
          <w:noProof/>
          <w14:textOutline w14:w="0" w14:cap="rnd" w14:cmpd="sng" w14:algn="ctr">
            <w14:noFill/>
            <w14:prstDash w14:val="solid"/>
            <w14:bevel/>
          </w14:textOutline>
        </w:rPr>
        <w:drawing>
          <wp:inline distT="0" distB="0" distL="0" distR="0" wp14:anchorId="3B5FFF13" wp14:editId="60682CC4">
            <wp:extent cx="914400" cy="813600"/>
            <wp:effectExtent l="0" t="0" r="0" b="0"/>
            <wp:docPr id="1391443105" name="Picture 2" descr="A yellow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43105" name="Picture 2" descr="A yellow triangle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876" cy="839826"/>
                    </a:xfrm>
                    <a:prstGeom prst="rect">
                      <a:avLst/>
                    </a:prstGeom>
                  </pic:spPr>
                </pic:pic>
              </a:graphicData>
            </a:graphic>
          </wp:inline>
        </w:drawing>
      </w:r>
      <w:r w:rsidR="0039005B">
        <w:rPr>
          <w:noProof/>
          <w14:textOutline w14:w="0" w14:cap="rnd" w14:cmpd="sng" w14:algn="ctr">
            <w14:noFill/>
            <w14:prstDash w14:val="solid"/>
            <w14:bevel/>
          </w14:textOutline>
        </w:rPr>
        <w:drawing>
          <wp:inline distT="0" distB="0" distL="0" distR="0" wp14:anchorId="1B4B4E0F" wp14:editId="6D72E6BA">
            <wp:extent cx="2511845" cy="510884"/>
            <wp:effectExtent l="0" t="0" r="3175" b="0"/>
            <wp:docPr id="52142138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21384" name="Picture 4" descr="A black background with a black squa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925920" cy="595103"/>
                    </a:xfrm>
                    <a:prstGeom prst="rect">
                      <a:avLst/>
                    </a:prstGeom>
                  </pic:spPr>
                </pic:pic>
              </a:graphicData>
            </a:graphic>
          </wp:inline>
        </w:drawing>
      </w:r>
    </w:p>
    <w:p w14:paraId="3FB97E6D" w14:textId="77777777" w:rsidR="00A80AB2" w:rsidRDefault="00A80AB2" w:rsidP="00A80AB2">
      <w:pPr>
        <w:pStyle w:val="MyHeading"/>
      </w:pPr>
    </w:p>
    <w:p w14:paraId="44E267D8" w14:textId="1008E157" w:rsidR="00F61417" w:rsidRDefault="00000000" w:rsidP="00A80AB2">
      <w:pPr>
        <w:pStyle w:val="MyHeading"/>
        <w:jc w:val="center"/>
      </w:pPr>
      <w:r>
        <w:rPr>
          <w:rFonts w:eastAsia="Arial Unicode MS" w:cs="Arial Unicode MS"/>
        </w:rPr>
        <w:t xml:space="preserve">Brake/Stop Lamp Operation Regulations Need </w:t>
      </w:r>
      <w:r w:rsidR="0039005B">
        <w:rPr>
          <w:rFonts w:eastAsia="Arial Unicode MS" w:cs="Arial Unicode MS"/>
        </w:rPr>
        <w:t>Updating</w:t>
      </w:r>
    </w:p>
    <w:p w14:paraId="3CB6A8DA" w14:textId="6A8BF55F" w:rsidR="00F61417" w:rsidRPr="0039005B" w:rsidRDefault="00000000">
      <w:pPr>
        <w:pStyle w:val="MyHeading"/>
        <w:rPr>
          <w:u w:val="single"/>
        </w:rPr>
      </w:pPr>
      <w:r w:rsidRPr="0039005B">
        <w:rPr>
          <w:rFonts w:eastAsia="Arial Unicode MS" w:cs="Arial Unicode MS"/>
          <w:u w:val="single"/>
        </w:rPr>
        <w:t>Background</w:t>
      </w:r>
    </w:p>
    <w:p w14:paraId="467895CD" w14:textId="50518DD7" w:rsidR="00F61417" w:rsidRDefault="00000000" w:rsidP="0039005B">
      <w:pPr>
        <w:pStyle w:val="MyBody"/>
        <w:jc w:val="both"/>
      </w:pPr>
      <w:r>
        <w:rPr>
          <w:rFonts w:eastAsia="Arial Unicode MS" w:cs="Arial Unicode MS"/>
        </w:rPr>
        <w:t xml:space="preserve">The growth of light-duty, medium-duty, and heavy-duty vehicles powered by electric motors demands a reexamination of </w:t>
      </w:r>
      <w:r w:rsidR="0098072E">
        <w:rPr>
          <w:rFonts w:eastAsia="Arial Unicode MS" w:cs="Arial Unicode MS"/>
        </w:rPr>
        <w:t xml:space="preserve">the regulatory requirements </w:t>
      </w:r>
      <w:r w:rsidR="00B80C7C">
        <w:rPr>
          <w:rFonts w:eastAsia="Arial Unicode MS" w:cs="Arial Unicode MS"/>
        </w:rPr>
        <w:t>that specify</w:t>
      </w:r>
      <w:r w:rsidR="0098072E">
        <w:rPr>
          <w:rFonts w:eastAsia="Arial Unicode MS" w:cs="Arial Unicode MS"/>
        </w:rPr>
        <w:t xml:space="preserve"> </w:t>
      </w:r>
      <w:r>
        <w:rPr>
          <w:rFonts w:eastAsia="Arial Unicode MS" w:cs="Arial Unicode MS"/>
        </w:rPr>
        <w:t xml:space="preserve">when stop lamps </w:t>
      </w:r>
      <w:r w:rsidR="00B80C7C">
        <w:rPr>
          <w:rFonts w:eastAsia="Arial Unicode MS" w:cs="Arial Unicode MS"/>
        </w:rPr>
        <w:t>must activate</w:t>
      </w:r>
      <w:r>
        <w:rPr>
          <w:rFonts w:eastAsia="Arial Unicode MS" w:cs="Arial Unicode MS"/>
        </w:rPr>
        <w:t xml:space="preserve">. Recent </w:t>
      </w:r>
      <w:r w:rsidR="00AB6A39" w:rsidRPr="00AB6A39">
        <w:rPr>
          <w:rFonts w:eastAsia="Arial Unicode MS" w:cs="Arial Unicode MS"/>
        </w:rPr>
        <w:t>Federal Motor Carrier Safety Administration</w:t>
      </w:r>
      <w:r w:rsidR="00AB6A39">
        <w:rPr>
          <w:rFonts w:eastAsia="Arial Unicode MS" w:cs="Arial Unicode MS"/>
        </w:rPr>
        <w:t xml:space="preserve"> (</w:t>
      </w:r>
      <w:r>
        <w:rPr>
          <w:rFonts w:eastAsia="Arial Unicode MS" w:cs="Arial Unicode MS"/>
        </w:rPr>
        <w:t>FMCSA</w:t>
      </w:r>
      <w:r w:rsidR="00AB6A39">
        <w:rPr>
          <w:rFonts w:eastAsia="Arial Unicode MS" w:cs="Arial Unicode MS"/>
        </w:rPr>
        <w:t>)</w:t>
      </w:r>
      <w:r>
        <w:rPr>
          <w:rFonts w:eastAsia="Arial Unicode MS" w:cs="Arial Unicode MS"/>
        </w:rPr>
        <w:t xml:space="preserve"> exemption approvals for auxiliary brake lamps that flash</w:t>
      </w:r>
      <w:r w:rsidR="000F4544">
        <w:rPr>
          <w:rFonts w:eastAsia="Arial Unicode MS" w:cs="Arial Unicode MS"/>
        </w:rPr>
        <w:t xml:space="preserve"> or pulsate</w:t>
      </w:r>
      <w:r>
        <w:rPr>
          <w:rFonts w:eastAsia="Arial Unicode MS" w:cs="Arial Unicode MS"/>
        </w:rPr>
        <w:t xml:space="preserve"> when the brake pedal is depressed have not been addressed by</w:t>
      </w:r>
      <w:r w:rsidR="00AB6A39">
        <w:rPr>
          <w:rFonts w:eastAsia="Arial Unicode MS" w:cs="Arial Unicode MS"/>
        </w:rPr>
        <w:t xml:space="preserve"> the </w:t>
      </w:r>
      <w:r w:rsidR="00AB6A39" w:rsidRPr="00AB6A39">
        <w:rPr>
          <w:rFonts w:eastAsia="Arial Unicode MS" w:cs="Arial Unicode MS"/>
        </w:rPr>
        <w:t>National Highway Traffic Safety Administration</w:t>
      </w:r>
      <w:r>
        <w:rPr>
          <w:rFonts w:eastAsia="Arial Unicode MS" w:cs="Arial Unicode MS"/>
        </w:rPr>
        <w:t xml:space="preserve"> </w:t>
      </w:r>
      <w:r w:rsidR="00AB6A39">
        <w:rPr>
          <w:rFonts w:eastAsia="Arial Unicode MS" w:cs="Arial Unicode MS"/>
        </w:rPr>
        <w:t>(</w:t>
      </w:r>
      <w:r>
        <w:rPr>
          <w:rFonts w:eastAsia="Arial Unicode MS" w:cs="Arial Unicode MS"/>
        </w:rPr>
        <w:t>NHTSA</w:t>
      </w:r>
      <w:r w:rsidR="00AB6A39">
        <w:rPr>
          <w:rFonts w:eastAsia="Arial Unicode MS" w:cs="Arial Unicode MS"/>
        </w:rPr>
        <w:t>)</w:t>
      </w:r>
      <w:r>
        <w:rPr>
          <w:rFonts w:eastAsia="Arial Unicode MS" w:cs="Arial Unicode MS"/>
        </w:rPr>
        <w:t xml:space="preserve">. With the advent of </w:t>
      </w:r>
      <w:r w:rsidR="00B80C7C">
        <w:rPr>
          <w:rFonts w:eastAsia="Arial Unicode MS" w:cs="Arial Unicode MS"/>
        </w:rPr>
        <w:t xml:space="preserve">LED </w:t>
      </w:r>
      <w:r>
        <w:rPr>
          <w:rFonts w:eastAsia="Arial Unicode MS" w:cs="Arial Unicode MS"/>
        </w:rPr>
        <w:t xml:space="preserve">lamps that are controlled by </w:t>
      </w:r>
      <w:r w:rsidR="005F1359">
        <w:rPr>
          <w:rFonts w:eastAsia="Arial Unicode MS" w:cs="Arial Unicode MS"/>
        </w:rPr>
        <w:t>sophisticated electronics</w:t>
      </w:r>
      <w:r>
        <w:rPr>
          <w:rFonts w:eastAsia="Arial Unicode MS" w:cs="Arial Unicode MS"/>
        </w:rPr>
        <w:t xml:space="preserve">, </w:t>
      </w:r>
      <w:r w:rsidR="00B80C7C">
        <w:rPr>
          <w:rFonts w:eastAsia="Arial Unicode MS" w:cs="Arial Unicode MS"/>
        </w:rPr>
        <w:t xml:space="preserve">NHTSA </w:t>
      </w:r>
      <w:r>
        <w:rPr>
          <w:rFonts w:eastAsia="Arial Unicode MS" w:cs="Arial Unicode MS"/>
        </w:rPr>
        <w:t>regulations put into place decades ago</w:t>
      </w:r>
      <w:r w:rsidR="00AB6A39">
        <w:rPr>
          <w:rFonts w:eastAsia="Arial Unicode MS" w:cs="Arial Unicode MS"/>
        </w:rPr>
        <w:t xml:space="preserve"> </w:t>
      </w:r>
      <w:r w:rsidR="00B80C7C">
        <w:rPr>
          <w:rFonts w:eastAsia="Arial Unicode MS" w:cs="Arial Unicode MS"/>
        </w:rPr>
        <w:t xml:space="preserve">(thus </w:t>
      </w:r>
      <w:r w:rsidR="00AB6A39">
        <w:rPr>
          <w:rFonts w:eastAsia="Arial Unicode MS" w:cs="Arial Unicode MS"/>
        </w:rPr>
        <w:t>predating the LED era</w:t>
      </w:r>
      <w:r w:rsidR="00B80C7C">
        <w:rPr>
          <w:rFonts w:eastAsia="Arial Unicode MS" w:cs="Arial Unicode MS"/>
        </w:rPr>
        <w:t>)</w:t>
      </w:r>
      <w:r>
        <w:rPr>
          <w:rFonts w:eastAsia="Arial Unicode MS" w:cs="Arial Unicode MS"/>
        </w:rPr>
        <w:t xml:space="preserve"> need to be </w:t>
      </w:r>
      <w:r w:rsidR="009B7C48">
        <w:rPr>
          <w:rFonts w:eastAsia="Arial Unicode MS" w:cs="Arial Unicode MS"/>
        </w:rPr>
        <w:t xml:space="preserve">modernized, </w:t>
      </w:r>
      <w:r w:rsidR="000F4544">
        <w:rPr>
          <w:rFonts w:eastAsia="Arial Unicode MS" w:cs="Arial Unicode MS"/>
        </w:rPr>
        <w:t>considering</w:t>
      </w:r>
      <w:r w:rsidR="009B7C48">
        <w:rPr>
          <w:rFonts w:eastAsia="Arial Unicode MS" w:cs="Arial Unicode MS"/>
        </w:rPr>
        <w:t xml:space="preserve"> n</w:t>
      </w:r>
      <w:r>
        <w:rPr>
          <w:rFonts w:eastAsia="Arial Unicode MS" w:cs="Arial Unicode MS"/>
        </w:rPr>
        <w:t xml:space="preserve">ew </w:t>
      </w:r>
      <w:r>
        <w:rPr>
          <w:rFonts w:eastAsia="Arial Unicode MS" w:cs="Arial Unicode MS"/>
        </w:rPr>
        <w:t xml:space="preserve">information derived from neuroscience and human factors </w:t>
      </w:r>
      <w:r w:rsidR="00B80C7C">
        <w:rPr>
          <w:rFonts w:eastAsia="Arial Unicode MS" w:cs="Arial Unicode MS"/>
        </w:rPr>
        <w:t>research</w:t>
      </w:r>
      <w:r>
        <w:rPr>
          <w:rFonts w:eastAsia="Arial Unicode MS" w:cs="Arial Unicode MS"/>
        </w:rPr>
        <w:t xml:space="preserve">. Safety statistics based on distracted driving </w:t>
      </w:r>
      <w:r w:rsidR="009B7C48">
        <w:rPr>
          <w:rFonts w:eastAsia="Arial Unicode MS" w:cs="Arial Unicode MS"/>
        </w:rPr>
        <w:t xml:space="preserve">must also </w:t>
      </w:r>
      <w:r>
        <w:rPr>
          <w:rFonts w:eastAsia="Arial Unicode MS" w:cs="Arial Unicode MS"/>
        </w:rPr>
        <w:t>be addressed. Autonomous vehicles are in their infancy</w:t>
      </w:r>
      <w:r w:rsidR="00AB6A39">
        <w:rPr>
          <w:rFonts w:eastAsia="Arial Unicode MS" w:cs="Arial Unicode MS"/>
        </w:rPr>
        <w:t>,</w:t>
      </w:r>
      <w:r>
        <w:rPr>
          <w:rFonts w:eastAsia="Arial Unicode MS" w:cs="Arial Unicode MS"/>
        </w:rPr>
        <w:t xml:space="preserve"> and </w:t>
      </w:r>
      <w:r w:rsidR="00AB6A39">
        <w:rPr>
          <w:rFonts w:eastAsia="Arial Unicode MS" w:cs="Arial Unicode MS"/>
        </w:rPr>
        <w:t>now</w:t>
      </w:r>
      <w:r>
        <w:rPr>
          <w:rFonts w:eastAsia="Arial Unicode MS" w:cs="Arial Unicode MS"/>
        </w:rPr>
        <w:t xml:space="preserve"> is the right time to establish how they will perceive the environment, detect vulnerable road users, and respond</w:t>
      </w:r>
      <w:r w:rsidR="00751CC9">
        <w:rPr>
          <w:rFonts w:eastAsia="Arial Unicode MS" w:cs="Arial Unicode MS"/>
        </w:rPr>
        <w:t xml:space="preserve"> to stimuli registered by their sensors and cameras</w:t>
      </w:r>
      <w:r>
        <w:rPr>
          <w:rFonts w:eastAsia="Arial Unicode MS" w:cs="Arial Unicode MS"/>
        </w:rPr>
        <w:t>.</w:t>
      </w:r>
    </w:p>
    <w:p w14:paraId="1B17B4D0" w14:textId="77777777" w:rsidR="00F61417" w:rsidRDefault="00F61417" w:rsidP="0039005B">
      <w:pPr>
        <w:pStyle w:val="MyBody"/>
        <w:jc w:val="both"/>
      </w:pPr>
    </w:p>
    <w:p w14:paraId="77805325" w14:textId="33AD19E1" w:rsidR="00F61417" w:rsidRDefault="00F101BC" w:rsidP="0039005B">
      <w:pPr>
        <w:pStyle w:val="MyBody"/>
        <w:jc w:val="both"/>
      </w:pPr>
      <w:r w:rsidRPr="00F101BC">
        <w:rPr>
          <w:rFonts w:eastAsia="Arial Unicode MS" w:cs="Arial Unicode MS"/>
        </w:rPr>
        <w:t xml:space="preserve">Federal Motor Vehicle Safety Standard </w:t>
      </w:r>
      <w:r w:rsidR="009B7C48">
        <w:rPr>
          <w:rFonts w:eastAsia="Arial Unicode MS" w:cs="Arial Unicode MS"/>
        </w:rPr>
        <w:t>(FMVSS) No</w:t>
      </w:r>
      <w:r>
        <w:rPr>
          <w:rFonts w:eastAsia="Arial Unicode MS" w:cs="Arial Unicode MS"/>
        </w:rPr>
        <w:t xml:space="preserve">. </w:t>
      </w:r>
      <w:r w:rsidRPr="00F101BC">
        <w:rPr>
          <w:rFonts w:eastAsia="Arial Unicode MS" w:cs="Arial Unicode MS"/>
        </w:rPr>
        <w:t>108</w:t>
      </w:r>
      <w:r>
        <w:rPr>
          <w:rFonts w:eastAsia="Arial Unicode MS" w:cs="Arial Unicode MS"/>
        </w:rPr>
        <w:t xml:space="preserve"> </w:t>
      </w:r>
      <w:r w:rsidR="009B7C48">
        <w:rPr>
          <w:rFonts w:eastAsia="Arial Unicode MS" w:cs="Arial Unicode MS"/>
        </w:rPr>
        <w:t xml:space="preserve">refers to these devices as </w:t>
      </w:r>
      <w:r w:rsidR="00A80AB2">
        <w:rPr>
          <w:rFonts w:eastAsia="Arial Unicode MS" w:cs="Arial Unicode MS"/>
        </w:rPr>
        <w:t>“</w:t>
      </w:r>
      <w:r>
        <w:rPr>
          <w:rFonts w:eastAsia="Arial Unicode MS" w:cs="Arial Unicode MS"/>
        </w:rPr>
        <w:t>stop lamps.</w:t>
      </w:r>
      <w:r w:rsidR="00A80AB2">
        <w:rPr>
          <w:rFonts w:eastAsia="Arial Unicode MS" w:cs="Arial Unicode MS"/>
        </w:rPr>
        <w:t>”</w:t>
      </w:r>
      <w:r>
        <w:rPr>
          <w:rFonts w:eastAsia="Arial Unicode MS" w:cs="Arial Unicode MS"/>
        </w:rPr>
        <w:t xml:space="preserve"> Th</w:t>
      </w:r>
      <w:r w:rsidR="009B7C48">
        <w:rPr>
          <w:rFonts w:eastAsia="Arial Unicode MS" w:cs="Arial Unicode MS"/>
        </w:rPr>
        <w:t>is</w:t>
      </w:r>
      <w:r>
        <w:rPr>
          <w:rFonts w:eastAsia="Arial Unicode MS" w:cs="Arial Unicode MS"/>
        </w:rPr>
        <w:t xml:space="preserve"> terminology finds its origin in two SAE standards</w:t>
      </w:r>
      <w:r w:rsidR="009B7C48">
        <w:rPr>
          <w:rFonts w:eastAsia="Arial Unicode MS" w:cs="Arial Unicode MS"/>
        </w:rPr>
        <w:t>,</w:t>
      </w:r>
      <w:r>
        <w:rPr>
          <w:rFonts w:eastAsia="Arial Unicode MS" w:cs="Arial Unicode MS"/>
        </w:rPr>
        <w:t xml:space="preserve"> </w:t>
      </w:r>
      <w:r w:rsidR="00EA3A74">
        <w:rPr>
          <w:rFonts w:eastAsia="Arial Unicode MS" w:cs="Arial Unicode MS"/>
        </w:rPr>
        <w:t xml:space="preserve">which were </w:t>
      </w:r>
      <w:r w:rsidR="009B7C48">
        <w:rPr>
          <w:rFonts w:eastAsia="Arial Unicode MS" w:cs="Arial Unicode MS"/>
        </w:rPr>
        <w:t xml:space="preserve">incorporated by </w:t>
      </w:r>
      <w:r w:rsidR="00EA3A74">
        <w:rPr>
          <w:rFonts w:eastAsia="Arial Unicode MS" w:cs="Arial Unicode MS"/>
        </w:rPr>
        <w:t>reference in</w:t>
      </w:r>
      <w:r w:rsidR="009B7C48">
        <w:rPr>
          <w:rFonts w:eastAsia="Arial Unicode MS" w:cs="Arial Unicode MS"/>
        </w:rPr>
        <w:t>to</w:t>
      </w:r>
      <w:r w:rsidR="00EA3A74">
        <w:rPr>
          <w:rFonts w:eastAsia="Arial Unicode MS" w:cs="Arial Unicode MS"/>
        </w:rPr>
        <w:t xml:space="preserve"> versions of FMVSS</w:t>
      </w:r>
      <w:r w:rsidR="005F1359">
        <w:rPr>
          <w:rFonts w:eastAsia="Arial Unicode MS" w:cs="Arial Unicode MS"/>
        </w:rPr>
        <w:t xml:space="preserve"> </w:t>
      </w:r>
      <w:r w:rsidR="00EA3A74">
        <w:rPr>
          <w:rFonts w:eastAsia="Arial Unicode MS" w:cs="Arial Unicode MS"/>
        </w:rPr>
        <w:t xml:space="preserve">108 prior to </w:t>
      </w:r>
      <w:r w:rsidR="009B7C48">
        <w:rPr>
          <w:rFonts w:eastAsia="Arial Unicode MS" w:cs="Arial Unicode MS"/>
        </w:rPr>
        <w:t xml:space="preserve">NHTSA’s 2007 </w:t>
      </w:r>
      <w:r w:rsidR="00EA3A74">
        <w:rPr>
          <w:rFonts w:eastAsia="Arial Unicode MS" w:cs="Arial Unicode MS"/>
        </w:rPr>
        <w:t>administrative rewrite</w:t>
      </w:r>
      <w:r w:rsidR="009B7C48">
        <w:rPr>
          <w:rFonts w:eastAsia="Arial Unicode MS" w:cs="Arial Unicode MS"/>
        </w:rPr>
        <w:t xml:space="preserve"> of the standard</w:t>
      </w:r>
      <w:r w:rsidR="00EA3A74">
        <w:rPr>
          <w:rFonts w:eastAsia="Arial Unicode MS" w:cs="Arial Unicode MS"/>
        </w:rPr>
        <w:t xml:space="preserve">. </w:t>
      </w:r>
      <w:r>
        <w:rPr>
          <w:rFonts w:eastAsia="Arial Unicode MS" w:cs="Arial Unicode MS"/>
        </w:rPr>
        <w:t xml:space="preserve">SAE J586 </w:t>
      </w:r>
      <w:r w:rsidR="00384221">
        <w:rPr>
          <w:rFonts w:eastAsia="Arial Unicode MS" w:cs="Arial Unicode MS"/>
        </w:rPr>
        <w:t>(</w:t>
      </w:r>
      <w:r>
        <w:rPr>
          <w:rFonts w:eastAsia="Arial Unicode MS" w:cs="Arial Unicode MS"/>
        </w:rPr>
        <w:t>1984</w:t>
      </w:r>
      <w:r w:rsidR="00384221">
        <w:rPr>
          <w:rFonts w:eastAsia="Arial Unicode MS" w:cs="Arial Unicode MS"/>
        </w:rPr>
        <w:t>)</w:t>
      </w:r>
      <w:r>
        <w:rPr>
          <w:rFonts w:eastAsia="Arial Unicode MS" w:cs="Arial Unicode MS"/>
        </w:rPr>
        <w:t xml:space="preserve"> (1) and SAE J1398</w:t>
      </w:r>
      <w:r w:rsidR="00384221">
        <w:rPr>
          <w:rFonts w:eastAsia="Arial Unicode MS" w:cs="Arial Unicode MS"/>
        </w:rPr>
        <w:t xml:space="preserve"> (</w:t>
      </w:r>
      <w:r>
        <w:rPr>
          <w:rFonts w:eastAsia="Arial Unicode MS" w:cs="Arial Unicode MS"/>
        </w:rPr>
        <w:t>1985</w:t>
      </w:r>
      <w:r w:rsidR="00384221">
        <w:rPr>
          <w:rFonts w:eastAsia="Arial Unicode MS" w:cs="Arial Unicode MS"/>
        </w:rPr>
        <w:t>)</w:t>
      </w:r>
      <w:r>
        <w:rPr>
          <w:rFonts w:eastAsia="Arial Unicode MS" w:cs="Arial Unicode MS"/>
        </w:rPr>
        <w:t xml:space="preserve"> (2) </w:t>
      </w:r>
      <w:r w:rsidR="000F4544">
        <w:rPr>
          <w:rFonts w:eastAsia="Arial Unicode MS" w:cs="Arial Unicode MS"/>
        </w:rPr>
        <w:t>define “</w:t>
      </w:r>
      <w:r>
        <w:rPr>
          <w:rFonts w:eastAsia="Arial Unicode MS" w:cs="Arial Unicode MS"/>
        </w:rPr>
        <w:t xml:space="preserve">stop lamps” as “lamps which indicate the intention of the operator of a vehicle to stop or diminish speed by braking.” However, stop </w:t>
      </w:r>
      <w:r w:rsidR="000F4544">
        <w:rPr>
          <w:rFonts w:eastAsia="Arial Unicode MS" w:cs="Arial Unicode MS"/>
        </w:rPr>
        <w:t>lamps are</w:t>
      </w:r>
      <w:r>
        <w:rPr>
          <w:rFonts w:eastAsia="Arial Unicode MS" w:cs="Arial Unicode MS"/>
        </w:rPr>
        <w:t xml:space="preserve"> </w:t>
      </w:r>
      <w:r w:rsidR="00384221">
        <w:rPr>
          <w:rFonts w:eastAsia="Arial Unicode MS" w:cs="Arial Unicode MS"/>
        </w:rPr>
        <w:t xml:space="preserve">essentially </w:t>
      </w:r>
      <w:r>
        <w:rPr>
          <w:rFonts w:eastAsia="Arial Unicode MS" w:cs="Arial Unicode MS"/>
        </w:rPr>
        <w:t>braking lamps</w:t>
      </w:r>
      <w:r w:rsidR="00384221">
        <w:rPr>
          <w:rFonts w:eastAsia="Arial Unicode MS" w:cs="Arial Unicode MS"/>
        </w:rPr>
        <w:t>, which</w:t>
      </w:r>
      <w:r>
        <w:rPr>
          <w:rFonts w:eastAsia="Arial Unicode MS" w:cs="Arial Unicode MS"/>
        </w:rPr>
        <w:t xml:space="preserve"> indicat</w:t>
      </w:r>
      <w:r w:rsidR="00384221">
        <w:rPr>
          <w:rFonts w:eastAsia="Arial Unicode MS" w:cs="Arial Unicode MS"/>
        </w:rPr>
        <w:t>e</w:t>
      </w:r>
      <w:r>
        <w:rPr>
          <w:rFonts w:eastAsia="Arial Unicode MS" w:cs="Arial Unicode MS"/>
        </w:rPr>
        <w:t xml:space="preserve"> an intention of the driver</w:t>
      </w:r>
      <w:r w:rsidR="000F4544">
        <w:rPr>
          <w:rFonts w:eastAsia="Arial Unicode MS" w:cs="Arial Unicode MS"/>
        </w:rPr>
        <w:t>,</w:t>
      </w:r>
      <w:r>
        <w:rPr>
          <w:rFonts w:eastAsia="Arial Unicode MS" w:cs="Arial Unicode MS"/>
        </w:rPr>
        <w:t xml:space="preserve"> regardless of what the vehicle is doing. For instance, </w:t>
      </w:r>
      <w:r w:rsidR="00384221">
        <w:rPr>
          <w:rFonts w:eastAsia="Arial Unicode MS" w:cs="Arial Unicode MS"/>
        </w:rPr>
        <w:t xml:space="preserve">if </w:t>
      </w:r>
      <w:r>
        <w:rPr>
          <w:rFonts w:eastAsia="Arial Unicode MS" w:cs="Arial Unicode MS"/>
        </w:rPr>
        <w:t>a driver release</w:t>
      </w:r>
      <w:r w:rsidR="00384221">
        <w:rPr>
          <w:rFonts w:eastAsia="Arial Unicode MS" w:cs="Arial Unicode MS"/>
        </w:rPr>
        <w:t>s</w:t>
      </w:r>
      <w:r>
        <w:rPr>
          <w:rFonts w:eastAsia="Arial Unicode MS" w:cs="Arial Unicode MS"/>
        </w:rPr>
        <w:t xml:space="preserve"> his</w:t>
      </w:r>
      <w:r w:rsidR="00384221">
        <w:rPr>
          <w:rFonts w:eastAsia="Arial Unicode MS" w:cs="Arial Unicode MS"/>
        </w:rPr>
        <w:t xml:space="preserve"> or her</w:t>
      </w:r>
      <w:r>
        <w:rPr>
          <w:rFonts w:eastAsia="Arial Unicode MS" w:cs="Arial Unicode MS"/>
        </w:rPr>
        <w:t xml:space="preserve"> foot from the accelerator pedal, the vehicle will slow. This could be defined as a driver intent to slow the vehicle</w:t>
      </w:r>
      <w:r w:rsidR="00384221">
        <w:rPr>
          <w:rFonts w:eastAsia="Arial Unicode MS" w:cs="Arial Unicode MS"/>
        </w:rPr>
        <w:t xml:space="preserve">, but this simple action does not command </w:t>
      </w:r>
      <w:r>
        <w:rPr>
          <w:rFonts w:eastAsia="Arial Unicode MS" w:cs="Arial Unicode MS"/>
        </w:rPr>
        <w:t>illuminat</w:t>
      </w:r>
      <w:r w:rsidR="00384221">
        <w:rPr>
          <w:rFonts w:eastAsia="Arial Unicode MS" w:cs="Arial Unicode MS"/>
        </w:rPr>
        <w:t>ion</w:t>
      </w:r>
      <w:r>
        <w:rPr>
          <w:rFonts w:eastAsia="Arial Unicode MS" w:cs="Arial Unicode MS"/>
        </w:rPr>
        <w:t xml:space="preserve"> o</w:t>
      </w:r>
      <w:r w:rsidR="00384221">
        <w:rPr>
          <w:rFonts w:eastAsia="Arial Unicode MS" w:cs="Arial Unicode MS"/>
        </w:rPr>
        <w:t>f the lamps</w:t>
      </w:r>
      <w:r>
        <w:rPr>
          <w:rFonts w:eastAsia="Arial Unicode MS" w:cs="Arial Unicode MS"/>
        </w:rPr>
        <w:t>.</w:t>
      </w:r>
    </w:p>
    <w:p w14:paraId="1102AC81" w14:textId="77777777" w:rsidR="00F61417" w:rsidRDefault="00F61417" w:rsidP="0039005B">
      <w:pPr>
        <w:pStyle w:val="MyBody"/>
        <w:jc w:val="both"/>
      </w:pPr>
    </w:p>
    <w:p w14:paraId="2EA0804B" w14:textId="77777777" w:rsidR="00F61417" w:rsidRDefault="00000000" w:rsidP="0039005B">
      <w:pPr>
        <w:pStyle w:val="MyBody"/>
        <w:jc w:val="both"/>
      </w:pPr>
      <w:r>
        <w:rPr>
          <w:rFonts w:eastAsia="Arial Unicode MS" w:cs="Arial Unicode MS"/>
        </w:rPr>
        <w:t xml:space="preserve">Consider the following design intents and situations. </w:t>
      </w:r>
    </w:p>
    <w:p w14:paraId="5E669642" w14:textId="12C69E30" w:rsidR="00F61417" w:rsidRDefault="00000000" w:rsidP="0039005B">
      <w:pPr>
        <w:pStyle w:val="MyBody"/>
        <w:numPr>
          <w:ilvl w:val="0"/>
          <w:numId w:val="1"/>
        </w:numPr>
        <w:jc w:val="both"/>
      </w:pPr>
      <w:r>
        <w:rPr>
          <w:rFonts w:eastAsia="Arial Unicode MS" w:cs="Arial Unicode MS"/>
        </w:rPr>
        <w:t>A vehicle with an automatic transmission has an “urge to move” based on the hydraulic torque converter having torque from the movement of the mechanism and the hydraulic fluid. This requires the driver to keep a foot on the brake pedal to avoid the vehicle moving, except on an incline of “just the right” angle where the forward torque overcomes the gravity of the vehicle.</w:t>
      </w:r>
    </w:p>
    <w:p w14:paraId="209F5A17" w14:textId="68AF5BEB" w:rsidR="00F61417" w:rsidRDefault="00000000" w:rsidP="0039005B">
      <w:pPr>
        <w:pStyle w:val="MyBody"/>
        <w:numPr>
          <w:ilvl w:val="0"/>
          <w:numId w:val="1"/>
        </w:numPr>
        <w:jc w:val="both"/>
      </w:pPr>
      <w:r>
        <w:rPr>
          <w:rFonts w:eastAsia="Arial Unicode MS" w:cs="Arial Unicode MS"/>
        </w:rPr>
        <w:t>When automated mechanical transmissions were introduced, they were initially designed to replicate this urge to move to enhance driver acceptance. This was done by “slipping the clutch.” The clutch would slightly engage to provide a similar feel</w:t>
      </w:r>
      <w:r w:rsidR="000F4544">
        <w:rPr>
          <w:rFonts w:eastAsia="Arial Unicode MS" w:cs="Arial Unicode MS"/>
        </w:rPr>
        <w:t>,</w:t>
      </w:r>
      <w:r>
        <w:rPr>
          <w:rFonts w:eastAsia="Arial Unicode MS" w:cs="Arial Unicode MS"/>
        </w:rPr>
        <w:t xml:space="preserve"> but would have to </w:t>
      </w:r>
      <w:r w:rsidR="000A2922">
        <w:rPr>
          <w:rFonts w:eastAsia="Arial Unicode MS" w:cs="Arial Unicode MS"/>
        </w:rPr>
        <w:t xml:space="preserve">be </w:t>
      </w:r>
      <w:r>
        <w:rPr>
          <w:rFonts w:eastAsia="Arial Unicode MS" w:cs="Arial Unicode MS"/>
        </w:rPr>
        <w:t>release</w:t>
      </w:r>
      <w:r w:rsidR="007B1581">
        <w:rPr>
          <w:rFonts w:eastAsia="Arial Unicode MS" w:cs="Arial Unicode MS"/>
        </w:rPr>
        <w:t>d</w:t>
      </w:r>
      <w:r>
        <w:rPr>
          <w:rFonts w:eastAsia="Arial Unicode MS" w:cs="Arial Unicode MS"/>
        </w:rPr>
        <w:t xml:space="preserve"> if the temperature rose too high. Thus</w:t>
      </w:r>
      <w:r w:rsidR="007B1581">
        <w:rPr>
          <w:rFonts w:eastAsia="Arial Unicode MS" w:cs="Arial Unicode MS"/>
        </w:rPr>
        <w:t>,</w:t>
      </w:r>
      <w:r>
        <w:rPr>
          <w:rFonts w:eastAsia="Arial Unicode MS" w:cs="Arial Unicode MS"/>
        </w:rPr>
        <w:t xml:space="preserve"> the vehicle would sometimes rock back and forth slightly.</w:t>
      </w:r>
    </w:p>
    <w:p w14:paraId="1C4FDE5A" w14:textId="34EB2873" w:rsidR="00F61417" w:rsidRDefault="00000000" w:rsidP="0039005B">
      <w:pPr>
        <w:pStyle w:val="MyBody"/>
        <w:numPr>
          <w:ilvl w:val="0"/>
          <w:numId w:val="1"/>
        </w:numPr>
        <w:jc w:val="both"/>
      </w:pPr>
      <w:r>
        <w:rPr>
          <w:rFonts w:eastAsia="Arial Unicode MS" w:cs="Arial Unicode MS"/>
        </w:rPr>
        <w:t xml:space="preserve">In a mechanically clutched transmission, </w:t>
      </w:r>
      <w:r w:rsidR="000A2922">
        <w:rPr>
          <w:rFonts w:eastAsia="Arial Unicode MS" w:cs="Arial Unicode MS"/>
        </w:rPr>
        <w:t xml:space="preserve">if the vehicle is on a flat section of road, </w:t>
      </w:r>
      <w:r>
        <w:rPr>
          <w:rFonts w:eastAsia="Arial Unicode MS" w:cs="Arial Unicode MS"/>
        </w:rPr>
        <w:t xml:space="preserve">there is no need to press the brake pedal to avoid the vehicle moving. On an incline, it may be necessary to press the brake pedal to avoid the vehicle moving forward or rolling back. </w:t>
      </w:r>
    </w:p>
    <w:p w14:paraId="3F11ECCD" w14:textId="30CB05C8" w:rsidR="00F61417" w:rsidRDefault="00000000" w:rsidP="0039005B">
      <w:pPr>
        <w:pStyle w:val="MyBody"/>
        <w:numPr>
          <w:ilvl w:val="0"/>
          <w:numId w:val="1"/>
        </w:numPr>
        <w:jc w:val="both"/>
      </w:pPr>
      <w:r>
        <w:rPr>
          <w:rFonts w:eastAsia="Arial Unicode MS" w:cs="Arial Unicode MS"/>
        </w:rPr>
        <w:t xml:space="preserve">With the push for reduction in </w:t>
      </w:r>
      <w:r w:rsidR="000A2922">
        <w:rPr>
          <w:rFonts w:eastAsia="Arial Unicode MS" w:cs="Arial Unicode MS"/>
        </w:rPr>
        <w:t xml:space="preserve">emissions </w:t>
      </w:r>
      <w:r>
        <w:rPr>
          <w:rFonts w:eastAsia="Arial Unicode MS" w:cs="Arial Unicode MS"/>
        </w:rPr>
        <w:t xml:space="preserve">in transportation, </w:t>
      </w:r>
      <w:r w:rsidR="000F4544">
        <w:rPr>
          <w:rFonts w:eastAsia="Arial Unicode MS" w:cs="Arial Unicode MS"/>
        </w:rPr>
        <w:t>several</w:t>
      </w:r>
      <w:r>
        <w:rPr>
          <w:rFonts w:eastAsia="Arial Unicode MS" w:cs="Arial Unicode MS"/>
        </w:rPr>
        <w:t xml:space="preserve"> manufacturers have </w:t>
      </w:r>
      <w:r w:rsidR="007B1581">
        <w:rPr>
          <w:rFonts w:eastAsia="Arial Unicode MS" w:cs="Arial Unicode MS"/>
        </w:rPr>
        <w:t xml:space="preserve">introduced </w:t>
      </w:r>
      <w:r>
        <w:rPr>
          <w:rFonts w:eastAsia="Arial Unicode MS" w:cs="Arial Unicode MS"/>
        </w:rPr>
        <w:t xml:space="preserve">a feature to stop the engine from running when the vehicle is stationary for some period of time. The engine may restart on its own to maintain electrical energy for accessories (such as air conditioning, heat, and </w:t>
      </w:r>
      <w:r>
        <w:rPr>
          <w:rFonts w:eastAsia="Arial Unicode MS" w:cs="Arial Unicode MS"/>
        </w:rPr>
        <w:lastRenderedPageBreak/>
        <w:t>entertainment) powered by the alternator and battery. The engine may be programmed to restart when the driver removes the foot from the brake pedal or when the accelerator pedal is depressed. It may not be necessary to depress the</w:t>
      </w:r>
      <w:r>
        <w:rPr>
          <w:rFonts w:eastAsia="Arial Unicode MS" w:cs="Arial Unicode MS"/>
        </w:rPr>
        <w:t xml:space="preserve"> brake pedal when stopped.</w:t>
      </w:r>
    </w:p>
    <w:p w14:paraId="2DB6409A" w14:textId="5D62CB7C" w:rsidR="00F61417" w:rsidRDefault="00000000" w:rsidP="0039005B">
      <w:pPr>
        <w:pStyle w:val="MyBody"/>
        <w:numPr>
          <w:ilvl w:val="0"/>
          <w:numId w:val="1"/>
        </w:numPr>
        <w:jc w:val="both"/>
      </w:pPr>
      <w:r>
        <w:rPr>
          <w:rFonts w:eastAsia="Arial Unicode MS" w:cs="Arial Unicode MS"/>
        </w:rPr>
        <w:t>Diesel</w:t>
      </w:r>
      <w:r w:rsidR="00205D86">
        <w:rPr>
          <w:rFonts w:eastAsia="Arial Unicode MS" w:cs="Arial Unicode MS"/>
        </w:rPr>
        <w:t>-</w:t>
      </w:r>
      <w:r>
        <w:rPr>
          <w:rFonts w:eastAsia="Arial Unicode MS" w:cs="Arial Unicode MS"/>
        </w:rPr>
        <w:t xml:space="preserve">powered vehicles may have a </w:t>
      </w:r>
      <w:r w:rsidR="004E0D27">
        <w:rPr>
          <w:rFonts w:eastAsia="Arial Unicode MS" w:cs="Arial Unicode MS"/>
        </w:rPr>
        <w:t xml:space="preserve">motion </w:t>
      </w:r>
      <w:r>
        <w:rPr>
          <w:rFonts w:eastAsia="Arial Unicode MS" w:cs="Arial Unicode MS"/>
        </w:rPr>
        <w:t>retarder</w:t>
      </w:r>
      <w:r w:rsidR="007B1581">
        <w:rPr>
          <w:rFonts w:eastAsia="Arial Unicode MS" w:cs="Arial Unicode MS"/>
        </w:rPr>
        <w:t xml:space="preserve">, such as an </w:t>
      </w:r>
      <w:r>
        <w:rPr>
          <w:rFonts w:eastAsia="Arial Unicode MS" w:cs="Arial Unicode MS"/>
        </w:rPr>
        <w:t xml:space="preserve">exhaust </w:t>
      </w:r>
      <w:r w:rsidR="007B1581">
        <w:rPr>
          <w:rFonts w:eastAsia="Arial Unicode MS" w:cs="Arial Unicode MS"/>
        </w:rPr>
        <w:t xml:space="preserve">or </w:t>
      </w:r>
      <w:r>
        <w:rPr>
          <w:rFonts w:eastAsia="Arial Unicode MS" w:cs="Arial Unicode MS"/>
        </w:rPr>
        <w:t xml:space="preserve">hydraulic retarder. </w:t>
      </w:r>
      <w:r w:rsidR="007B1581">
        <w:rPr>
          <w:rFonts w:eastAsia="Arial Unicode MS" w:cs="Arial Unicode MS"/>
        </w:rPr>
        <w:t>F</w:t>
      </w:r>
      <w:r>
        <w:rPr>
          <w:rFonts w:eastAsia="Arial Unicode MS" w:cs="Arial Unicode MS"/>
        </w:rPr>
        <w:t>or heavy-duty vehicles operating in mountainous terrain</w:t>
      </w:r>
      <w:r w:rsidR="00205D86">
        <w:rPr>
          <w:rFonts w:eastAsia="Arial Unicode MS" w:cs="Arial Unicode MS"/>
        </w:rPr>
        <w:t>,</w:t>
      </w:r>
      <w:r w:rsidR="007B1581">
        <w:rPr>
          <w:rFonts w:eastAsia="Arial Unicode MS" w:cs="Arial Unicode MS"/>
        </w:rPr>
        <w:t xml:space="preserve"> installation of a retarde</w:t>
      </w:r>
      <w:r w:rsidR="005F1359">
        <w:rPr>
          <w:rFonts w:eastAsia="Arial Unicode MS" w:cs="Arial Unicode MS"/>
        </w:rPr>
        <w:t>r</w:t>
      </w:r>
      <w:r w:rsidR="007B1581">
        <w:rPr>
          <w:rFonts w:eastAsia="Arial Unicode MS" w:cs="Arial Unicode MS"/>
        </w:rPr>
        <w:t xml:space="preserve"> can be exceptionally important</w:t>
      </w:r>
      <w:r>
        <w:rPr>
          <w:rFonts w:eastAsia="Arial Unicode MS" w:cs="Arial Unicode MS"/>
        </w:rPr>
        <w:t>. Since these devices do not require the brake pedal to be depressed in all implementations,</w:t>
      </w:r>
      <w:r w:rsidR="00925952">
        <w:rPr>
          <w:rFonts w:eastAsia="Arial Unicode MS" w:cs="Arial Unicode MS"/>
        </w:rPr>
        <w:t xml:space="preserve"> when activated,</w:t>
      </w:r>
      <w:r>
        <w:rPr>
          <w:rFonts w:eastAsia="Arial Unicode MS" w:cs="Arial Unicode MS"/>
        </w:rPr>
        <w:t xml:space="preserve"> the </w:t>
      </w:r>
      <w:r w:rsidR="005F1359">
        <w:rPr>
          <w:rFonts w:eastAsia="Arial Unicode MS" w:cs="Arial Unicode MS"/>
        </w:rPr>
        <w:t xml:space="preserve">stop </w:t>
      </w:r>
      <w:r>
        <w:rPr>
          <w:rFonts w:eastAsia="Arial Unicode MS" w:cs="Arial Unicode MS"/>
        </w:rPr>
        <w:t>lamps may or may not illuminate.</w:t>
      </w:r>
    </w:p>
    <w:p w14:paraId="43D91C67" w14:textId="3931E8F0" w:rsidR="00F61417" w:rsidRDefault="00000000" w:rsidP="0039005B">
      <w:pPr>
        <w:pStyle w:val="MyBody"/>
        <w:numPr>
          <w:ilvl w:val="0"/>
          <w:numId w:val="1"/>
        </w:numPr>
        <w:jc w:val="both"/>
      </w:pPr>
      <w:r>
        <w:rPr>
          <w:rFonts w:eastAsia="Arial Unicode MS" w:cs="Arial Unicode MS"/>
        </w:rPr>
        <w:t xml:space="preserve">New electrically powered vehicles often have a feature to use the regenerative forces of the motor to slow the vehicle. Many </w:t>
      </w:r>
      <w:r w:rsidR="001C608B">
        <w:rPr>
          <w:rFonts w:eastAsia="Arial Unicode MS" w:cs="Arial Unicode MS"/>
        </w:rPr>
        <w:t xml:space="preserve">such vehicles </w:t>
      </w:r>
      <w:r>
        <w:rPr>
          <w:rFonts w:eastAsia="Arial Unicode MS" w:cs="Arial Unicode MS"/>
        </w:rPr>
        <w:t xml:space="preserve">allow for “one pedal” operation, </w:t>
      </w:r>
      <w:r w:rsidR="001C608B">
        <w:rPr>
          <w:rFonts w:eastAsia="Arial Unicode MS" w:cs="Arial Unicode MS"/>
        </w:rPr>
        <w:t xml:space="preserve">making it possible to </w:t>
      </w:r>
      <w:r>
        <w:rPr>
          <w:rFonts w:eastAsia="Arial Unicode MS" w:cs="Arial Unicode MS"/>
        </w:rPr>
        <w:t xml:space="preserve">bring the vehicle </w:t>
      </w:r>
      <w:r w:rsidR="00BD40C0">
        <w:rPr>
          <w:rFonts w:eastAsia="Arial Unicode MS" w:cs="Arial Unicode MS"/>
        </w:rPr>
        <w:t>to</w:t>
      </w:r>
      <w:r w:rsidR="001C608B">
        <w:rPr>
          <w:rFonts w:eastAsia="Arial Unicode MS" w:cs="Arial Unicode MS"/>
        </w:rPr>
        <w:t xml:space="preserve"> a</w:t>
      </w:r>
      <w:r>
        <w:rPr>
          <w:rFonts w:eastAsia="Arial Unicode MS" w:cs="Arial Unicode MS"/>
        </w:rPr>
        <w:t xml:space="preserve"> completely stationary </w:t>
      </w:r>
      <w:r w:rsidR="001C608B">
        <w:rPr>
          <w:rFonts w:eastAsia="Arial Unicode MS" w:cs="Arial Unicode MS"/>
        </w:rPr>
        <w:t xml:space="preserve">state </w:t>
      </w:r>
      <w:r>
        <w:rPr>
          <w:rFonts w:eastAsia="Arial Unicode MS" w:cs="Arial Unicode MS"/>
        </w:rPr>
        <w:t xml:space="preserve">without depressing the brake pedal. It does not appear to be standardized as to when </w:t>
      </w:r>
      <w:r w:rsidR="005F1359">
        <w:rPr>
          <w:rFonts w:eastAsia="Arial Unicode MS" w:cs="Arial Unicode MS"/>
        </w:rPr>
        <w:t xml:space="preserve">or </w:t>
      </w:r>
      <w:r>
        <w:rPr>
          <w:rFonts w:eastAsia="Arial Unicode MS" w:cs="Arial Unicode MS"/>
        </w:rPr>
        <w:t>if the stop lamps should be illuminated</w:t>
      </w:r>
      <w:r w:rsidR="00241A75">
        <w:rPr>
          <w:rFonts w:eastAsia="Arial Unicode MS" w:cs="Arial Unicode MS"/>
        </w:rPr>
        <w:t xml:space="preserve"> under such conditions</w:t>
      </w:r>
      <w:r>
        <w:rPr>
          <w:rFonts w:eastAsia="Arial Unicode MS" w:cs="Arial Unicode MS"/>
        </w:rPr>
        <w:t xml:space="preserve">. Some </w:t>
      </w:r>
      <w:r w:rsidR="00241A75">
        <w:rPr>
          <w:rFonts w:eastAsia="Arial Unicode MS" w:cs="Arial Unicode MS"/>
        </w:rPr>
        <w:t>vehicle</w:t>
      </w:r>
      <w:r w:rsidR="00BD40C0">
        <w:rPr>
          <w:rFonts w:eastAsia="Arial Unicode MS" w:cs="Arial Unicode MS"/>
        </w:rPr>
        <w:t>s</w:t>
      </w:r>
      <w:r w:rsidR="00241A75">
        <w:rPr>
          <w:rFonts w:eastAsia="Arial Unicode MS" w:cs="Arial Unicode MS"/>
        </w:rPr>
        <w:t xml:space="preserve"> </w:t>
      </w:r>
      <w:r>
        <w:rPr>
          <w:rFonts w:eastAsia="Arial Unicode MS" w:cs="Arial Unicode MS"/>
        </w:rPr>
        <w:t xml:space="preserve">sense that the vehicle is stationary and will illuminate the stop lamps even if the brake pedal is not depressed. </w:t>
      </w:r>
      <w:r w:rsidR="00241A75">
        <w:rPr>
          <w:rFonts w:eastAsia="Arial Unicode MS" w:cs="Arial Unicode MS"/>
        </w:rPr>
        <w:t xml:space="preserve">Others </w:t>
      </w:r>
      <w:r>
        <w:rPr>
          <w:rFonts w:eastAsia="Arial Unicode MS" w:cs="Arial Unicode MS"/>
        </w:rPr>
        <w:t>will illuminate the lamps if the vehicle is decelerating at some arbitrary speed</w:t>
      </w:r>
      <w:r w:rsidR="002E6F9A">
        <w:rPr>
          <w:rFonts w:eastAsia="Arial Unicode MS" w:cs="Arial Unicode MS"/>
        </w:rPr>
        <w:t xml:space="preserve"> that </w:t>
      </w:r>
      <w:r>
        <w:rPr>
          <w:rFonts w:eastAsia="Arial Unicode MS" w:cs="Arial Unicode MS"/>
        </w:rPr>
        <w:t>may not be related to the weight and speed of the vehicle</w:t>
      </w:r>
      <w:r w:rsidR="002E6F9A">
        <w:rPr>
          <w:rFonts w:eastAsia="Arial Unicode MS" w:cs="Arial Unicode MS"/>
        </w:rPr>
        <w:t xml:space="preserve"> (which </w:t>
      </w:r>
      <w:r>
        <w:rPr>
          <w:rFonts w:eastAsia="Arial Unicode MS" w:cs="Arial Unicode MS"/>
        </w:rPr>
        <w:t>are important to determine the time and distance to stop</w:t>
      </w:r>
      <w:r w:rsidR="002E6F9A">
        <w:rPr>
          <w:rFonts w:eastAsia="Arial Unicode MS" w:cs="Arial Unicode MS"/>
        </w:rPr>
        <w:t>)</w:t>
      </w:r>
      <w:r>
        <w:rPr>
          <w:rFonts w:eastAsia="Arial Unicode MS" w:cs="Arial Unicode MS"/>
        </w:rPr>
        <w:t>.</w:t>
      </w:r>
    </w:p>
    <w:p w14:paraId="7B2367B1" w14:textId="59DD4031" w:rsidR="00F61417" w:rsidRDefault="00000000" w:rsidP="0039005B">
      <w:pPr>
        <w:pStyle w:val="MyBody"/>
        <w:numPr>
          <w:ilvl w:val="0"/>
          <w:numId w:val="1"/>
        </w:numPr>
        <w:jc w:val="both"/>
      </w:pPr>
      <w:r>
        <w:rPr>
          <w:rFonts w:eastAsia="Arial Unicode MS" w:cs="Arial Unicode MS"/>
        </w:rPr>
        <w:t xml:space="preserve">Electric vehicles often have a hold mode to prevent the vehicle from rolling back when on an incline. </w:t>
      </w:r>
      <w:r w:rsidR="00241A75">
        <w:rPr>
          <w:rFonts w:eastAsia="Arial Unicode MS" w:cs="Arial Unicode MS"/>
        </w:rPr>
        <w:t>In the hold mode</w:t>
      </w:r>
      <w:r w:rsidR="002E6F9A">
        <w:rPr>
          <w:rFonts w:eastAsia="Arial Unicode MS" w:cs="Arial Unicode MS"/>
        </w:rPr>
        <w:t>,</w:t>
      </w:r>
      <w:r w:rsidR="00241A75">
        <w:rPr>
          <w:rFonts w:eastAsia="Arial Unicode MS" w:cs="Arial Unicode MS"/>
        </w:rPr>
        <w:t xml:space="preserve"> n</w:t>
      </w:r>
      <w:r>
        <w:rPr>
          <w:rFonts w:eastAsia="Arial Unicode MS" w:cs="Arial Unicode MS"/>
        </w:rPr>
        <w:t>o brake pedal is depressed</w:t>
      </w:r>
      <w:r w:rsidR="000F4544">
        <w:rPr>
          <w:rFonts w:eastAsia="Arial Unicode MS" w:cs="Arial Unicode MS"/>
        </w:rPr>
        <w:t>.</w:t>
      </w:r>
    </w:p>
    <w:p w14:paraId="184DEE0F" w14:textId="791AF9C6" w:rsidR="00F61417" w:rsidRDefault="00000000" w:rsidP="0039005B">
      <w:pPr>
        <w:pStyle w:val="MyBody"/>
        <w:numPr>
          <w:ilvl w:val="0"/>
          <w:numId w:val="1"/>
        </w:numPr>
        <w:jc w:val="both"/>
      </w:pPr>
      <w:r>
        <w:rPr>
          <w:rFonts w:eastAsia="Arial Unicode MS" w:cs="Arial Unicode MS"/>
        </w:rPr>
        <w:t xml:space="preserve">FMCSA has approved </w:t>
      </w:r>
      <w:r w:rsidR="002E6F9A">
        <w:rPr>
          <w:rFonts w:eastAsia="Arial Unicode MS" w:cs="Arial Unicode MS"/>
        </w:rPr>
        <w:t>several</w:t>
      </w:r>
      <w:r>
        <w:rPr>
          <w:rFonts w:eastAsia="Arial Unicode MS" w:cs="Arial Unicode MS"/>
        </w:rPr>
        <w:t xml:space="preserve"> five-year exemptions to allow the use of flashing</w:t>
      </w:r>
      <w:r w:rsidR="000F4544">
        <w:rPr>
          <w:rFonts w:eastAsia="Arial Unicode MS" w:cs="Arial Unicode MS"/>
        </w:rPr>
        <w:t>/pulsating</w:t>
      </w:r>
      <w:r>
        <w:rPr>
          <w:rFonts w:eastAsia="Arial Unicode MS" w:cs="Arial Unicode MS"/>
        </w:rPr>
        <w:t xml:space="preserve"> auxiliary lamps on vehicles when the brake pedal is depressed. Those exemptions do not address the situations </w:t>
      </w:r>
      <w:r w:rsidR="00241A75">
        <w:rPr>
          <w:rFonts w:eastAsia="Arial Unicode MS" w:cs="Arial Unicode MS"/>
        </w:rPr>
        <w:t xml:space="preserve">illustrated </w:t>
      </w:r>
      <w:r>
        <w:rPr>
          <w:rFonts w:eastAsia="Arial Unicode MS" w:cs="Arial Unicode MS"/>
        </w:rPr>
        <w:t xml:space="preserve">above. </w:t>
      </w:r>
    </w:p>
    <w:p w14:paraId="00B27990" w14:textId="790E1F73" w:rsidR="00F61417" w:rsidRDefault="00000000" w:rsidP="0039005B">
      <w:pPr>
        <w:pStyle w:val="MyBody"/>
        <w:numPr>
          <w:ilvl w:val="0"/>
          <w:numId w:val="1"/>
        </w:numPr>
        <w:jc w:val="both"/>
      </w:pPr>
      <w:r>
        <w:rPr>
          <w:rFonts w:eastAsia="Arial Unicode MS" w:cs="Arial Unicode MS"/>
        </w:rPr>
        <w:t>The use of</w:t>
      </w:r>
      <w:r w:rsidR="005F1359">
        <w:rPr>
          <w:rFonts w:eastAsia="Arial Unicode MS" w:cs="Arial Unicode MS"/>
        </w:rPr>
        <w:t xml:space="preserve"> electronically controlled</w:t>
      </w:r>
      <w:r>
        <w:rPr>
          <w:rFonts w:eastAsia="Arial Unicode MS" w:cs="Arial Unicode MS"/>
        </w:rPr>
        <w:t xml:space="preserve"> LEDs significantly changes what is possible to control the timing and intensity changes</w:t>
      </w:r>
      <w:r w:rsidR="00416747">
        <w:rPr>
          <w:rFonts w:eastAsia="Arial Unicode MS" w:cs="Arial Unicode MS"/>
        </w:rPr>
        <w:t xml:space="preserve"> of a lamp</w:t>
      </w:r>
      <w:r>
        <w:rPr>
          <w:rFonts w:eastAsia="Arial Unicode MS" w:cs="Arial Unicode MS"/>
        </w:rPr>
        <w:t xml:space="preserve">. </w:t>
      </w:r>
    </w:p>
    <w:p w14:paraId="59EE410F" w14:textId="77777777" w:rsidR="00F61417" w:rsidRDefault="00F61417" w:rsidP="0039005B">
      <w:pPr>
        <w:pStyle w:val="MyBody"/>
        <w:jc w:val="both"/>
      </w:pPr>
    </w:p>
    <w:p w14:paraId="2442BBB0" w14:textId="721A3C84" w:rsidR="00F61417" w:rsidRDefault="00000000" w:rsidP="0039005B">
      <w:pPr>
        <w:pStyle w:val="MyBody"/>
        <w:jc w:val="both"/>
      </w:pPr>
      <w:r>
        <w:rPr>
          <w:rFonts w:eastAsia="Arial Unicode MS" w:cs="Arial Unicode MS"/>
        </w:rPr>
        <w:t>In 2009, NHTSA provided an interpretation to Eaton on its Hydraulic Launch Assist</w:t>
      </w:r>
      <w:r w:rsidR="00AB222A">
        <w:rPr>
          <w:rFonts w:eastAsia="Arial Unicode MS" w:cs="Arial Unicode MS"/>
        </w:rPr>
        <w:t xml:space="preserve"> (HLA)</w:t>
      </w:r>
      <w:r>
        <w:rPr>
          <w:rFonts w:eastAsia="Arial Unicode MS" w:cs="Arial Unicode MS"/>
        </w:rPr>
        <w:t>. That product provided some retardation</w:t>
      </w:r>
      <w:r w:rsidR="00AB222A">
        <w:rPr>
          <w:rFonts w:eastAsia="Arial Unicode MS" w:cs="Arial Unicode MS"/>
        </w:rPr>
        <w:t>,</w:t>
      </w:r>
      <w:r>
        <w:rPr>
          <w:rFonts w:eastAsia="Arial Unicode MS" w:cs="Arial Unicode MS"/>
        </w:rPr>
        <w:t xml:space="preserve"> and </w:t>
      </w:r>
      <w:r w:rsidR="002E6F9A">
        <w:rPr>
          <w:rFonts w:eastAsia="Arial Unicode MS" w:cs="Arial Unicode MS"/>
        </w:rPr>
        <w:t xml:space="preserve">Eaton was </w:t>
      </w:r>
      <w:r>
        <w:rPr>
          <w:rFonts w:eastAsia="Arial Unicode MS" w:cs="Arial Unicode MS"/>
        </w:rPr>
        <w:t xml:space="preserve">uncertain what telltales per FMVSS 101 needed to be included and whether the stop lamps needed to be illuminated. </w:t>
      </w:r>
      <w:r w:rsidR="002E6F9A">
        <w:rPr>
          <w:rFonts w:eastAsia="Arial Unicode MS" w:cs="Arial Unicode MS"/>
        </w:rPr>
        <w:t xml:space="preserve">NHTSA’s </w:t>
      </w:r>
      <w:r>
        <w:rPr>
          <w:rFonts w:eastAsia="Arial Unicode MS" w:cs="Arial Unicode MS"/>
        </w:rPr>
        <w:t xml:space="preserve">response can be found at </w:t>
      </w:r>
      <w:hyperlink r:id="rId9" w:history="1">
        <w:r>
          <w:rPr>
            <w:rStyle w:val="Hyperlink0"/>
            <w:rFonts w:eastAsia="Arial Unicode MS" w:cs="Arial Unicode MS"/>
          </w:rPr>
          <w:t>https://www.nhtsa.gov/interpretations/07-003933as</w:t>
        </w:r>
      </w:hyperlink>
      <w:r>
        <w:rPr>
          <w:rFonts w:eastAsia="Arial Unicode MS" w:cs="Arial Unicode MS"/>
        </w:rPr>
        <w:t>(</w:t>
      </w:r>
      <w:r w:rsidR="0066034F">
        <w:rPr>
          <w:rFonts w:eastAsia="Arial Unicode MS" w:cs="Arial Unicode MS"/>
        </w:rPr>
        <w:t>3</w:t>
      </w:r>
      <w:r>
        <w:rPr>
          <w:rFonts w:eastAsia="Arial Unicode MS" w:cs="Arial Unicode MS"/>
        </w:rPr>
        <w:t xml:space="preserve">). The </w:t>
      </w:r>
      <w:r w:rsidR="00EA673A">
        <w:rPr>
          <w:rFonts w:eastAsia="Arial Unicode MS" w:cs="Arial Unicode MS"/>
        </w:rPr>
        <w:t xml:space="preserve">Agency’s </w:t>
      </w:r>
      <w:r>
        <w:rPr>
          <w:rFonts w:eastAsia="Arial Unicode MS" w:cs="Arial Unicode MS"/>
        </w:rPr>
        <w:t>response indicated overlap among FMVSS</w:t>
      </w:r>
      <w:r w:rsidR="005F1359">
        <w:rPr>
          <w:rFonts w:eastAsia="Arial Unicode MS" w:cs="Arial Unicode MS"/>
        </w:rPr>
        <w:t>s</w:t>
      </w:r>
      <w:r>
        <w:rPr>
          <w:rFonts w:eastAsia="Arial Unicode MS" w:cs="Arial Unicode MS"/>
        </w:rPr>
        <w:t xml:space="preserve"> 101, 105, 108, 121, and 135. A key point was </w:t>
      </w:r>
      <w:r w:rsidR="00EA673A">
        <w:rPr>
          <w:rFonts w:eastAsia="Arial Unicode MS" w:cs="Arial Unicode MS"/>
        </w:rPr>
        <w:t xml:space="preserve">that </w:t>
      </w:r>
      <w:r>
        <w:rPr>
          <w:rFonts w:eastAsia="Arial Unicode MS" w:cs="Arial Unicode MS"/>
        </w:rPr>
        <w:t>the HLA is not “service brakes</w:t>
      </w:r>
      <w:r w:rsidR="005F1359">
        <w:rPr>
          <w:rFonts w:eastAsia="Arial Unicode MS" w:cs="Arial Unicode MS"/>
        </w:rPr>
        <w:t>”</w:t>
      </w:r>
      <w:r>
        <w:rPr>
          <w:rFonts w:eastAsia="Arial Unicode MS" w:cs="Arial Unicode MS"/>
        </w:rPr>
        <w:t>. Another was that FMVSS 105 defines a</w:t>
      </w:r>
      <w:r w:rsidR="00EA673A">
        <w:rPr>
          <w:rFonts w:eastAsia="Arial Unicode MS" w:cs="Arial Unicode MS"/>
        </w:rPr>
        <w:t xml:space="preserve"> </w:t>
      </w:r>
      <w:r>
        <w:rPr>
          <w:rFonts w:eastAsia="Arial Unicode MS" w:cs="Arial Unicode MS"/>
        </w:rPr>
        <w:t xml:space="preserve">Regenerative Braking System </w:t>
      </w:r>
      <w:r w:rsidR="00AB222A">
        <w:rPr>
          <w:rFonts w:eastAsia="Arial Unicode MS" w:cs="Arial Unicode MS"/>
        </w:rPr>
        <w:t xml:space="preserve">(RBS) </w:t>
      </w:r>
      <w:r>
        <w:rPr>
          <w:rFonts w:eastAsia="Arial Unicode MS" w:cs="Arial Unicode MS"/>
        </w:rPr>
        <w:t>for electric and hydraulic braking. The RBS may or may not be part of the defined “service brake</w:t>
      </w:r>
      <w:r w:rsidR="005F1359">
        <w:rPr>
          <w:rFonts w:eastAsia="Arial Unicode MS" w:cs="Arial Unicode MS"/>
        </w:rPr>
        <w:t>”</w:t>
      </w:r>
      <w:r>
        <w:rPr>
          <w:rFonts w:eastAsia="Arial Unicode MS" w:cs="Arial Unicode MS"/>
        </w:rPr>
        <w:t xml:space="preserve">. </w:t>
      </w:r>
    </w:p>
    <w:p w14:paraId="2F2708B5" w14:textId="77777777" w:rsidR="00F61417" w:rsidRDefault="00F61417" w:rsidP="0039005B">
      <w:pPr>
        <w:pStyle w:val="MyBody"/>
        <w:jc w:val="both"/>
      </w:pPr>
    </w:p>
    <w:p w14:paraId="463B68B4" w14:textId="13EACEA2" w:rsidR="00F61417" w:rsidRDefault="00D8768C" w:rsidP="0039005B">
      <w:pPr>
        <w:pStyle w:val="MyBody"/>
        <w:jc w:val="both"/>
      </w:pPr>
      <w:r>
        <w:rPr>
          <w:rFonts w:eastAsia="Arial Unicode MS" w:cs="Arial Unicode MS"/>
        </w:rPr>
        <w:t>Although potential</w:t>
      </w:r>
      <w:r w:rsidR="00EA220B">
        <w:rPr>
          <w:rFonts w:eastAsia="Arial Unicode MS" w:cs="Arial Unicode MS"/>
        </w:rPr>
        <w:t xml:space="preserve"> </w:t>
      </w:r>
      <w:r w:rsidR="00EA673A">
        <w:rPr>
          <w:rFonts w:eastAsia="Arial Unicode MS" w:cs="Arial Unicode MS"/>
        </w:rPr>
        <w:t>update</w:t>
      </w:r>
      <w:r w:rsidR="00EA220B">
        <w:rPr>
          <w:rFonts w:eastAsia="Arial Unicode MS" w:cs="Arial Unicode MS"/>
        </w:rPr>
        <w:t>s</w:t>
      </w:r>
      <w:r w:rsidR="00EA673A">
        <w:rPr>
          <w:rFonts w:eastAsia="Arial Unicode MS" w:cs="Arial Unicode MS"/>
        </w:rPr>
        <w:t xml:space="preserve"> </w:t>
      </w:r>
      <w:r w:rsidR="00EA220B">
        <w:rPr>
          <w:rFonts w:eastAsia="Arial Unicode MS" w:cs="Arial Unicode MS"/>
        </w:rPr>
        <w:t xml:space="preserve">to </w:t>
      </w:r>
      <w:r>
        <w:rPr>
          <w:rFonts w:eastAsia="Arial Unicode MS" w:cs="Arial Unicode MS"/>
        </w:rPr>
        <w:t xml:space="preserve">FMVSS 108 are on NHTSA’s </w:t>
      </w:r>
      <w:r w:rsidR="000F4544">
        <w:rPr>
          <w:rFonts w:eastAsia="Arial Unicode MS" w:cs="Arial Unicode MS"/>
        </w:rPr>
        <w:t>radar (</w:t>
      </w:r>
      <w:r>
        <w:rPr>
          <w:rFonts w:eastAsia="Arial Unicode MS" w:cs="Arial Unicode MS"/>
        </w:rPr>
        <w:t>6), the current</w:t>
      </w:r>
      <w:r w:rsidR="00EA673A">
        <w:rPr>
          <w:rFonts w:eastAsia="Arial Unicode MS" w:cs="Arial Unicode MS"/>
        </w:rPr>
        <w:t xml:space="preserve"> (Spring 2024)</w:t>
      </w:r>
      <w:r>
        <w:rPr>
          <w:rFonts w:eastAsia="Arial Unicode MS" w:cs="Arial Unicode MS"/>
        </w:rPr>
        <w:t xml:space="preserve"> </w:t>
      </w:r>
      <w:r w:rsidR="00EA673A">
        <w:rPr>
          <w:rFonts w:eastAsia="Arial Unicode MS" w:cs="Arial Unicode MS"/>
        </w:rPr>
        <w:t xml:space="preserve">Unified </w:t>
      </w:r>
      <w:r w:rsidR="0045433B">
        <w:rPr>
          <w:rFonts w:eastAsia="Arial Unicode MS" w:cs="Arial Unicode MS"/>
        </w:rPr>
        <w:t>Agenda (</w:t>
      </w:r>
      <w:r w:rsidR="005C42AF">
        <w:rPr>
          <w:rFonts w:eastAsia="Arial Unicode MS" w:cs="Arial Unicode MS"/>
        </w:rPr>
        <w:t>4)</w:t>
      </w:r>
      <w:r>
        <w:rPr>
          <w:rFonts w:eastAsia="Arial Unicode MS" w:cs="Arial Unicode MS"/>
        </w:rPr>
        <w:t xml:space="preserve"> does not</w:t>
      </w:r>
      <w:r w:rsidR="00AB222A">
        <w:rPr>
          <w:rFonts w:eastAsia="Arial Unicode MS" w:cs="Arial Unicode MS"/>
        </w:rPr>
        <w:t xml:space="preserve"> </w:t>
      </w:r>
      <w:r w:rsidR="00EA673A">
        <w:rPr>
          <w:rFonts w:eastAsia="Arial Unicode MS" w:cs="Arial Unicode MS"/>
        </w:rPr>
        <w:t xml:space="preserve">indicate </w:t>
      </w:r>
      <w:r>
        <w:rPr>
          <w:rFonts w:eastAsia="Arial Unicode MS" w:cs="Arial Unicode MS"/>
        </w:rPr>
        <w:t>any impending action in this regard</w:t>
      </w:r>
      <w:r w:rsidR="00EA220B">
        <w:rPr>
          <w:rFonts w:eastAsia="Arial Unicode MS" w:cs="Arial Unicode MS"/>
        </w:rPr>
        <w:t>.</w:t>
      </w:r>
      <w:r w:rsidR="0045433B">
        <w:rPr>
          <w:rFonts w:eastAsia="Arial Unicode MS" w:cs="Arial Unicode MS"/>
        </w:rPr>
        <w:t xml:space="preserve"> NHTSA-2020-109 (7) did request comments on several FMVSS test procedures</w:t>
      </w:r>
      <w:r w:rsidR="00B26EAB">
        <w:rPr>
          <w:rFonts w:eastAsia="Arial Unicode MS" w:cs="Arial Unicode MS"/>
        </w:rPr>
        <w:t xml:space="preserve"> related to air brakes but did not include FMVSS 108. </w:t>
      </w:r>
      <w:r>
        <w:rPr>
          <w:rFonts w:eastAsia="Arial Unicode MS" w:cs="Arial Unicode MS"/>
        </w:rPr>
        <w:t xml:space="preserve">Bosch did submit a response to </w:t>
      </w:r>
      <w:r w:rsidR="00B26EAB">
        <w:rPr>
          <w:rFonts w:eastAsia="Arial Unicode MS" w:cs="Arial Unicode MS"/>
        </w:rPr>
        <w:t xml:space="preserve">to the request that </w:t>
      </w:r>
      <w:r>
        <w:rPr>
          <w:rFonts w:eastAsia="Arial Unicode MS" w:cs="Arial Unicode MS"/>
        </w:rPr>
        <w:t xml:space="preserve">primarily related to test procedures in FMVSS 108, especially for </w:t>
      </w:r>
      <w:r w:rsidR="0045433B">
        <w:rPr>
          <w:rFonts w:eastAsia="Arial Unicode MS" w:cs="Arial Unicode MS"/>
        </w:rPr>
        <w:t>adaptive driving</w:t>
      </w:r>
      <w:r>
        <w:rPr>
          <w:rFonts w:eastAsia="Arial Unicode MS" w:cs="Arial Unicode MS"/>
        </w:rPr>
        <w:t xml:space="preserve"> beam (ADB).</w:t>
      </w:r>
    </w:p>
    <w:p w14:paraId="702C983B" w14:textId="77777777" w:rsidR="00F61417" w:rsidRDefault="00F61417" w:rsidP="0039005B">
      <w:pPr>
        <w:pStyle w:val="MyBody"/>
        <w:jc w:val="both"/>
      </w:pPr>
    </w:p>
    <w:p w14:paraId="79D8FD46" w14:textId="3250E899" w:rsidR="00F61417" w:rsidRDefault="00000000" w:rsidP="0039005B">
      <w:pPr>
        <w:pStyle w:val="MyBody"/>
        <w:jc w:val="both"/>
      </w:pPr>
      <w:r>
        <w:rPr>
          <w:rFonts w:eastAsia="Arial Unicode MS" w:cs="Arial Unicode MS"/>
        </w:rPr>
        <w:t xml:space="preserve">There are potentially other occasions when the </w:t>
      </w:r>
      <w:r w:rsidR="005F1359">
        <w:rPr>
          <w:rFonts w:eastAsia="Arial Unicode MS" w:cs="Arial Unicode MS"/>
        </w:rPr>
        <w:t xml:space="preserve">stop </w:t>
      </w:r>
      <w:r>
        <w:rPr>
          <w:rFonts w:eastAsia="Arial Unicode MS" w:cs="Arial Unicode MS"/>
        </w:rPr>
        <w:t>lamps can, may, or should be illuminate</w:t>
      </w:r>
      <w:r w:rsidR="0045433B">
        <w:rPr>
          <w:rFonts w:eastAsia="Arial Unicode MS" w:cs="Arial Unicode MS"/>
        </w:rPr>
        <w:t xml:space="preserve">d, </w:t>
      </w:r>
      <w:r>
        <w:rPr>
          <w:rFonts w:eastAsia="Arial Unicode MS" w:cs="Arial Unicode MS"/>
        </w:rPr>
        <w:t>flashed</w:t>
      </w:r>
      <w:r w:rsidR="0045433B">
        <w:rPr>
          <w:rFonts w:eastAsia="Arial Unicode MS" w:cs="Arial Unicode MS"/>
        </w:rPr>
        <w:t>, or pulsated</w:t>
      </w:r>
      <w:r>
        <w:rPr>
          <w:rFonts w:eastAsia="Arial Unicode MS" w:cs="Arial Unicode MS"/>
        </w:rPr>
        <w:t xml:space="preserve">. </w:t>
      </w:r>
    </w:p>
    <w:p w14:paraId="147971B9" w14:textId="77777777" w:rsidR="00F61417" w:rsidRDefault="00F61417" w:rsidP="0039005B">
      <w:pPr>
        <w:pStyle w:val="MyBody"/>
        <w:jc w:val="both"/>
      </w:pPr>
    </w:p>
    <w:p w14:paraId="120C9376" w14:textId="285AB621" w:rsidR="00F61417" w:rsidRDefault="00000000" w:rsidP="0039005B">
      <w:pPr>
        <w:pStyle w:val="MyHeading"/>
        <w:jc w:val="both"/>
      </w:pPr>
      <w:r>
        <w:rPr>
          <w:rFonts w:eastAsia="Arial Unicode MS" w:cs="Arial Unicode MS"/>
          <w:lang w:val="it-IT"/>
        </w:rPr>
        <w:t>Conclusion</w:t>
      </w:r>
      <w:r>
        <w:rPr>
          <w:rFonts w:eastAsia="Arial Unicode MS" w:cs="Arial Unicode MS"/>
        </w:rPr>
        <w:t>s and Recommendations</w:t>
      </w:r>
    </w:p>
    <w:p w14:paraId="1A293180" w14:textId="0570864C" w:rsidR="005156D7" w:rsidRPr="0039005B" w:rsidRDefault="00000000" w:rsidP="005156D7">
      <w:pPr>
        <w:pStyle w:val="MyBody"/>
        <w:numPr>
          <w:ilvl w:val="0"/>
          <w:numId w:val="3"/>
        </w:numPr>
        <w:jc w:val="both"/>
      </w:pPr>
      <w:r>
        <w:rPr>
          <w:rFonts w:eastAsia="Arial Unicode MS" w:cs="Arial Unicode MS"/>
        </w:rPr>
        <w:t xml:space="preserve">Technology and </w:t>
      </w:r>
      <w:r w:rsidR="00C47301">
        <w:rPr>
          <w:rFonts w:eastAsia="Arial Unicode MS" w:cs="Arial Unicode MS"/>
        </w:rPr>
        <w:t xml:space="preserve">our </w:t>
      </w:r>
      <w:r>
        <w:rPr>
          <w:rFonts w:eastAsia="Arial Unicode MS" w:cs="Arial Unicode MS"/>
        </w:rPr>
        <w:t xml:space="preserve">understanding </w:t>
      </w:r>
      <w:r w:rsidR="00C47301">
        <w:rPr>
          <w:rFonts w:eastAsia="Arial Unicode MS" w:cs="Arial Unicode MS"/>
        </w:rPr>
        <w:t xml:space="preserve">regarding </w:t>
      </w:r>
      <w:r>
        <w:rPr>
          <w:rFonts w:eastAsia="Arial Unicode MS" w:cs="Arial Unicode MS"/>
        </w:rPr>
        <w:t>how the brain and eye function have advanced significantly over the last two decades.</w:t>
      </w:r>
    </w:p>
    <w:p w14:paraId="79F626CA" w14:textId="5E97AFF1" w:rsidR="005156D7" w:rsidRPr="0039005B" w:rsidRDefault="00000000" w:rsidP="005156D7">
      <w:pPr>
        <w:pStyle w:val="MyBody"/>
        <w:numPr>
          <w:ilvl w:val="0"/>
          <w:numId w:val="3"/>
        </w:numPr>
        <w:jc w:val="both"/>
      </w:pPr>
      <w:r>
        <w:rPr>
          <w:rFonts w:eastAsia="Arial Unicode MS" w:cs="Arial Unicode MS"/>
        </w:rPr>
        <w:t xml:space="preserve">There is overlap among FMVSS 101, 105, 108, 121, and 135. NHTSA is adapting </w:t>
      </w:r>
      <w:r w:rsidR="00C47301">
        <w:rPr>
          <w:rFonts w:eastAsia="Arial Unicode MS" w:cs="Arial Unicode MS"/>
        </w:rPr>
        <w:t xml:space="preserve">non-lighting </w:t>
      </w:r>
      <w:r>
        <w:rPr>
          <w:rFonts w:eastAsia="Arial Unicode MS" w:cs="Arial Unicode MS"/>
        </w:rPr>
        <w:t xml:space="preserve">regulations to </w:t>
      </w:r>
      <w:r w:rsidR="00C47301">
        <w:rPr>
          <w:rFonts w:eastAsia="Arial Unicode MS" w:cs="Arial Unicode MS"/>
        </w:rPr>
        <w:t xml:space="preserve">address </w:t>
      </w:r>
      <w:r>
        <w:rPr>
          <w:rFonts w:eastAsia="Arial Unicode MS" w:cs="Arial Unicode MS"/>
        </w:rPr>
        <w:t>Auto</w:t>
      </w:r>
      <w:r w:rsidR="00AB222A">
        <w:rPr>
          <w:rFonts w:eastAsia="Arial Unicode MS" w:cs="Arial Unicode MS"/>
        </w:rPr>
        <w:t>mated</w:t>
      </w:r>
      <w:r>
        <w:rPr>
          <w:rFonts w:eastAsia="Arial Unicode MS" w:cs="Arial Unicode MS"/>
        </w:rPr>
        <w:t xml:space="preserve"> Driving Systems.</w:t>
      </w:r>
    </w:p>
    <w:p w14:paraId="0781D3C3" w14:textId="1A779C14" w:rsidR="00F61417" w:rsidRDefault="00000000" w:rsidP="0039005B">
      <w:pPr>
        <w:pStyle w:val="MyBody"/>
        <w:numPr>
          <w:ilvl w:val="0"/>
          <w:numId w:val="3"/>
        </w:numPr>
        <w:jc w:val="both"/>
      </w:pPr>
      <w:r>
        <w:rPr>
          <w:rFonts w:eastAsia="Arial Unicode MS" w:cs="Arial Unicode MS"/>
        </w:rPr>
        <w:lastRenderedPageBreak/>
        <w:t>The Transportation Safety Equipment Institute recommends th</w:t>
      </w:r>
      <w:r w:rsidR="00C47301">
        <w:rPr>
          <w:rFonts w:eastAsia="Arial Unicode MS" w:cs="Arial Unicode MS"/>
        </w:rPr>
        <w:t>at</w:t>
      </w:r>
      <w:r>
        <w:rPr>
          <w:rFonts w:eastAsia="Arial Unicode MS" w:cs="Arial Unicode MS"/>
        </w:rPr>
        <w:t xml:space="preserve"> </w:t>
      </w:r>
      <w:r w:rsidR="00C47301">
        <w:rPr>
          <w:rFonts w:eastAsia="Arial Unicode MS" w:cs="Arial Unicode MS"/>
        </w:rPr>
        <w:t xml:space="preserve">NHTSA </w:t>
      </w:r>
      <w:r>
        <w:rPr>
          <w:rFonts w:eastAsia="Arial Unicode MS" w:cs="Arial Unicode MS"/>
        </w:rPr>
        <w:t>close</w:t>
      </w:r>
      <w:r w:rsidR="007743CC">
        <w:rPr>
          <w:rFonts w:eastAsia="Arial Unicode MS" w:cs="Arial Unicode MS"/>
        </w:rPr>
        <w:t>ly study</w:t>
      </w:r>
      <w:r>
        <w:rPr>
          <w:rFonts w:eastAsia="Arial Unicode MS" w:cs="Arial Unicode MS"/>
        </w:rPr>
        <w:t xml:space="preserve"> current </w:t>
      </w:r>
      <w:r w:rsidR="00C47301">
        <w:rPr>
          <w:rFonts w:eastAsia="Arial Unicode MS" w:cs="Arial Unicode MS"/>
        </w:rPr>
        <w:t xml:space="preserve">lighting and conspicuity </w:t>
      </w:r>
      <w:r>
        <w:rPr>
          <w:rFonts w:eastAsia="Arial Unicode MS" w:cs="Arial Unicode MS"/>
        </w:rPr>
        <w:t>technolog</w:t>
      </w:r>
      <w:r w:rsidR="00C47301">
        <w:rPr>
          <w:rFonts w:eastAsia="Arial Unicode MS" w:cs="Arial Unicode MS"/>
        </w:rPr>
        <w:t>ies</w:t>
      </w:r>
      <w:r w:rsidR="007743CC">
        <w:rPr>
          <w:rFonts w:eastAsia="Arial Unicode MS" w:cs="Arial Unicode MS"/>
        </w:rPr>
        <w:t xml:space="preserve"> and</w:t>
      </w:r>
      <w:r>
        <w:rPr>
          <w:rFonts w:eastAsia="Arial Unicode MS" w:cs="Arial Unicode MS"/>
        </w:rPr>
        <w:t xml:space="preserve"> </w:t>
      </w:r>
      <w:r w:rsidR="007743CC">
        <w:rPr>
          <w:rFonts w:eastAsia="Arial Unicode MS" w:cs="Arial Unicode MS"/>
        </w:rPr>
        <w:t xml:space="preserve">behavioral and neuroscientific research, as well as </w:t>
      </w:r>
      <w:r>
        <w:rPr>
          <w:rFonts w:eastAsia="Arial Unicode MS" w:cs="Arial Unicode MS"/>
        </w:rPr>
        <w:t xml:space="preserve">exemptions, implementations, trends, state regulations, and other federal </w:t>
      </w:r>
      <w:r w:rsidR="007743CC">
        <w:rPr>
          <w:rFonts w:eastAsia="Arial Unicode MS" w:cs="Arial Unicode MS"/>
        </w:rPr>
        <w:t xml:space="preserve">agency </w:t>
      </w:r>
      <w:r>
        <w:rPr>
          <w:rFonts w:eastAsia="Arial Unicode MS" w:cs="Arial Unicode MS"/>
        </w:rPr>
        <w:t xml:space="preserve">regulations (FHWA, FMCSA, etc.) to inform a rewrite of </w:t>
      </w:r>
      <w:r w:rsidRPr="00B94C06">
        <w:rPr>
          <w:rFonts w:eastAsia="Arial Unicode MS" w:cs="Arial Unicode MS"/>
        </w:rPr>
        <w:t>FMVSS 108</w:t>
      </w:r>
      <w:r>
        <w:rPr>
          <w:rFonts w:eastAsia="Arial Unicode MS" w:cs="Arial Unicode MS"/>
        </w:rPr>
        <w:t xml:space="preserve"> before 2027 with </w:t>
      </w:r>
      <w:r w:rsidR="007743CC">
        <w:rPr>
          <w:rFonts w:eastAsia="Arial Unicode MS" w:cs="Arial Unicode MS"/>
        </w:rPr>
        <w:t xml:space="preserve">a </w:t>
      </w:r>
      <w:r w:rsidR="00C47301">
        <w:rPr>
          <w:rFonts w:eastAsia="Arial Unicode MS" w:cs="Arial Unicode MS"/>
        </w:rPr>
        <w:t xml:space="preserve">compliance </w:t>
      </w:r>
      <w:r w:rsidR="007743CC">
        <w:rPr>
          <w:rFonts w:eastAsia="Arial Unicode MS" w:cs="Arial Unicode MS"/>
        </w:rPr>
        <w:t xml:space="preserve">target of September </w:t>
      </w:r>
      <w:r>
        <w:rPr>
          <w:rFonts w:eastAsia="Arial Unicode MS" w:cs="Arial Unicode MS"/>
        </w:rPr>
        <w:t>20</w:t>
      </w:r>
      <w:r w:rsidR="007743CC">
        <w:rPr>
          <w:rFonts w:eastAsia="Arial Unicode MS" w:cs="Arial Unicode MS"/>
        </w:rPr>
        <w:t>29 (MY 2030)</w:t>
      </w:r>
      <w:r>
        <w:rPr>
          <w:rFonts w:eastAsia="Arial Unicode MS" w:cs="Arial Unicode MS"/>
        </w:rPr>
        <w:t>.</w:t>
      </w:r>
    </w:p>
    <w:p w14:paraId="1AA594AB" w14:textId="77777777" w:rsidR="00F61417" w:rsidRDefault="00F61417">
      <w:pPr>
        <w:pStyle w:val="MyBody"/>
      </w:pPr>
    </w:p>
    <w:p w14:paraId="5D4519C5" w14:textId="77777777" w:rsidR="00F61417" w:rsidRDefault="00000000">
      <w:pPr>
        <w:pStyle w:val="MyHeading"/>
      </w:pPr>
      <w:r>
        <w:rPr>
          <w:rFonts w:eastAsia="Arial Unicode MS" w:cs="Arial Unicode MS"/>
          <w:lang w:val="fr-FR"/>
        </w:rPr>
        <w:t>References</w:t>
      </w:r>
      <w:r>
        <w:rPr>
          <w:rFonts w:eastAsia="Arial Unicode MS" w:cs="Arial Unicode MS"/>
        </w:rPr>
        <w:t>:</w:t>
      </w:r>
    </w:p>
    <w:p w14:paraId="173D2402" w14:textId="748EB6C9" w:rsidR="00F101BC" w:rsidRPr="0039005B" w:rsidRDefault="004E0D27" w:rsidP="0039005B">
      <w:pPr>
        <w:pStyle w:val="MyBody"/>
        <w:numPr>
          <w:ilvl w:val="0"/>
          <w:numId w:val="2"/>
        </w:numPr>
        <w:rPr>
          <w:rFonts w:eastAsia="Arial Unicode MS" w:cs="Arial Unicode MS"/>
        </w:rPr>
      </w:pPr>
      <w:r>
        <w:rPr>
          <w:rFonts w:eastAsia="Arial Unicode MS" w:cs="Arial Unicode MS"/>
        </w:rPr>
        <w:t xml:space="preserve">  </w:t>
      </w:r>
      <w:r w:rsidR="00F101BC" w:rsidRPr="00AB222A">
        <w:rPr>
          <w:rFonts w:eastAsia="Arial Unicode MS" w:cs="Arial Unicode MS"/>
        </w:rPr>
        <w:t xml:space="preserve">SAE J586 </w:t>
      </w:r>
      <w:r w:rsidR="00F101BC" w:rsidRPr="0039005B">
        <w:rPr>
          <w:rFonts w:eastAsia="Arial Unicode MS" w:cs="Arial Unicode MS"/>
        </w:rPr>
        <w:t>(Feb 1984)</w:t>
      </w:r>
      <w:r w:rsidR="00AB222A" w:rsidRPr="0039005B">
        <w:rPr>
          <w:rFonts w:eastAsia="Arial Unicode MS" w:cs="Arial Unicode MS"/>
        </w:rPr>
        <w:t xml:space="preserve"> STOP LAMPS FOR USE ON MOTOR VEHICLES LESS THAN 2032 MM IN OVERALL WIDTH</w:t>
      </w:r>
    </w:p>
    <w:p w14:paraId="41D9264A" w14:textId="5C5435E0" w:rsidR="00F101BC" w:rsidRDefault="00F101BC" w:rsidP="005156D7">
      <w:pPr>
        <w:pStyle w:val="MyBody"/>
        <w:numPr>
          <w:ilvl w:val="0"/>
          <w:numId w:val="2"/>
        </w:numPr>
        <w:rPr>
          <w:rFonts w:eastAsia="Arial Unicode MS" w:cs="Arial Unicode MS"/>
        </w:rPr>
      </w:pPr>
      <w:r w:rsidRPr="0039005B">
        <w:rPr>
          <w:rFonts w:eastAsia="Arial Unicode MS" w:cs="Arial Unicode MS"/>
        </w:rPr>
        <w:t>SAE J1398 (May 1985)</w:t>
      </w:r>
      <w:r w:rsidR="00AB222A" w:rsidRPr="0039005B">
        <w:rPr>
          <w:rFonts w:eastAsia="Arial Unicode MS" w:cs="Arial Unicode MS"/>
        </w:rPr>
        <w:t xml:space="preserve"> </w:t>
      </w:r>
      <w:r w:rsidR="0066034F" w:rsidRPr="0039005B">
        <w:rPr>
          <w:rFonts w:eastAsia="Arial Unicode MS" w:cs="Arial Unicode MS"/>
        </w:rPr>
        <w:t>STOP LAMPS FOR USE ON MOTOR VEHICLES 2032 mm OR MORE IN OVERALL WIDTH</w:t>
      </w:r>
    </w:p>
    <w:p w14:paraId="3EFA7681" w14:textId="4139E928" w:rsidR="00F61417" w:rsidRPr="0039005B" w:rsidRDefault="00000000" w:rsidP="00862706">
      <w:pPr>
        <w:pStyle w:val="MyBody"/>
        <w:numPr>
          <w:ilvl w:val="0"/>
          <w:numId w:val="2"/>
        </w:numPr>
        <w:rPr>
          <w:lang w:val="nl-NL"/>
        </w:rPr>
      </w:pPr>
      <w:hyperlink r:id="rId10" w:history="1">
        <w:r w:rsidR="00F101BC" w:rsidRPr="0039005B">
          <w:rPr>
            <w:rStyle w:val="Hyperlink"/>
            <w:rFonts w:eastAsia="Arial Unicode MS" w:cs="Arial Unicode MS"/>
            <w:lang w:val="nl-NL"/>
          </w:rPr>
          <w:t>https://www.nhtsa.gov/interpretations/07-003933as</w:t>
        </w:r>
      </w:hyperlink>
    </w:p>
    <w:p w14:paraId="29A107D5" w14:textId="77777777" w:rsidR="00F61417" w:rsidRPr="0039005B" w:rsidRDefault="00F61417" w:rsidP="0039005B">
      <w:pPr>
        <w:pStyle w:val="MyBody"/>
        <w:ind w:left="720"/>
        <w:rPr>
          <w:lang w:val="nl-NL"/>
        </w:rPr>
      </w:pPr>
    </w:p>
    <w:p w14:paraId="21B64F79" w14:textId="46C5AA79" w:rsidR="00F61417" w:rsidRPr="0039005B" w:rsidRDefault="004E0D27" w:rsidP="00862706">
      <w:pPr>
        <w:pStyle w:val="MyBody"/>
        <w:numPr>
          <w:ilvl w:val="0"/>
          <w:numId w:val="2"/>
        </w:numPr>
        <w:rPr>
          <w:lang w:val="nl-NL"/>
        </w:rPr>
      </w:pPr>
      <w:hyperlink r:id="rId11" w:history="1">
        <w:r w:rsidRPr="00BF2D44">
          <w:rPr>
            <w:rStyle w:val="Hyperlink"/>
            <w:rFonts w:eastAsia="Arial Unicode MS" w:cs="Arial Unicode MS"/>
            <w:lang w:val="nl-NL"/>
          </w:rPr>
          <w:t>https://www.reginfo.gov/public/do/eAgendaMain?operation=OPERATION_GET_AGENCY_RULE_LIST&amp;currentPub=true&amp;agencyCode=&amp;showStage=active&amp;agencyCd=2100&amp;csrf_token=614B67E4F64BCB56A550EDF77DD7BB2E0AFE7F8ACC20815E2F7B22A91A0816A9622BA036E1ECDBC773D1891B59B25B91F1CE</w:t>
        </w:r>
      </w:hyperlink>
    </w:p>
    <w:p w14:paraId="6A13874E" w14:textId="77777777" w:rsidR="00F61417" w:rsidRPr="0039005B" w:rsidRDefault="00F61417" w:rsidP="0039005B">
      <w:pPr>
        <w:pStyle w:val="MyBody"/>
        <w:ind w:left="720"/>
        <w:rPr>
          <w:lang w:val="nl-NL"/>
        </w:rPr>
      </w:pPr>
    </w:p>
    <w:p w14:paraId="0A3ABDF1" w14:textId="1D49E136" w:rsidR="00F61417" w:rsidRPr="0039005B" w:rsidRDefault="00000000" w:rsidP="00862706">
      <w:pPr>
        <w:pStyle w:val="MyBody"/>
        <w:numPr>
          <w:ilvl w:val="0"/>
          <w:numId w:val="2"/>
        </w:numPr>
        <w:rPr>
          <w:lang w:val="nl-NL"/>
        </w:rPr>
      </w:pPr>
      <w:hyperlink r:id="rId12" w:history="1">
        <w:r w:rsidRPr="0039005B">
          <w:rPr>
            <w:rStyle w:val="Hyperlink0"/>
            <w:rFonts w:eastAsia="Arial Unicode MS" w:cs="Arial Unicode MS"/>
            <w:lang w:val="nl-NL"/>
          </w:rPr>
          <w:t>https://www.reginfo.gov/public/do/eAgendaMain?operation=OPERATION_GET_AGENCY_RULE_LIST&amp;currentPubId=202304&amp;showStage=longterm&amp;agencyCd=2100&amp;csrf_token=614B67E4F64BCB56A550EDF77DD7BB2E0AFE7F8ACC20815E2F7B22A91A0816A9622BA036E1ECDBC773D1891B59B25B91F1CE</w:t>
        </w:r>
      </w:hyperlink>
    </w:p>
    <w:p w14:paraId="0A956AAB" w14:textId="77777777" w:rsidR="00F61417" w:rsidRPr="0039005B" w:rsidRDefault="00F61417" w:rsidP="0039005B">
      <w:pPr>
        <w:pStyle w:val="MyBody"/>
        <w:ind w:left="720"/>
        <w:rPr>
          <w:lang w:val="nl-NL"/>
        </w:rPr>
      </w:pPr>
    </w:p>
    <w:p w14:paraId="2129EABB" w14:textId="0D8EBA76" w:rsidR="00F61417" w:rsidRPr="0039005B" w:rsidRDefault="00000000" w:rsidP="00862706">
      <w:pPr>
        <w:pStyle w:val="MyBody"/>
        <w:numPr>
          <w:ilvl w:val="0"/>
          <w:numId w:val="2"/>
        </w:numPr>
        <w:rPr>
          <w:lang w:val="nl-NL"/>
        </w:rPr>
      </w:pPr>
      <w:hyperlink r:id="rId13" w:history="1">
        <w:r w:rsidRPr="0039005B">
          <w:rPr>
            <w:rStyle w:val="Hyperlink0"/>
            <w:rFonts w:eastAsia="Arial Unicode MS" w:cs="Arial Unicode MS"/>
            <w:lang w:val="nl-NL"/>
          </w:rPr>
          <w:t>https://www.reginfo.gov/public/do/eAgendaViewRule?pubId=202304&amp;RIN=2127-AL95</w:t>
        </w:r>
      </w:hyperlink>
    </w:p>
    <w:p w14:paraId="601EBBC8" w14:textId="77777777" w:rsidR="00F61417" w:rsidRPr="0039005B" w:rsidRDefault="00F61417" w:rsidP="0039005B">
      <w:pPr>
        <w:pStyle w:val="MyBody"/>
        <w:ind w:left="720"/>
        <w:rPr>
          <w:lang w:val="nl-NL"/>
        </w:rPr>
      </w:pPr>
    </w:p>
    <w:p w14:paraId="1616DC2C" w14:textId="403D7E96" w:rsidR="00F61417" w:rsidRPr="0039005B" w:rsidRDefault="00000000" w:rsidP="00862706">
      <w:pPr>
        <w:pStyle w:val="MyBody"/>
        <w:numPr>
          <w:ilvl w:val="0"/>
          <w:numId w:val="2"/>
        </w:numPr>
        <w:rPr>
          <w:lang w:val="nl-NL"/>
        </w:rPr>
      </w:pPr>
      <w:hyperlink r:id="rId14" w:history="1">
        <w:r w:rsidRPr="0039005B">
          <w:rPr>
            <w:rStyle w:val="Hyperlink0"/>
            <w:rFonts w:eastAsia="Arial Unicode MS" w:cs="Arial Unicode MS"/>
            <w:lang w:val="nl-NL"/>
          </w:rPr>
          <w:t>https://lindseyresearch.com/wp-content/uploads/2021/02/NHTSA-2020-0109-0012-20210208_Bosch_response_ANPRM_FMVSS_Final_Version.pdf</w:t>
        </w:r>
      </w:hyperlink>
    </w:p>
    <w:p w14:paraId="060948C6" w14:textId="77777777" w:rsidR="00F61417" w:rsidRPr="0039005B" w:rsidRDefault="00F61417">
      <w:pPr>
        <w:pStyle w:val="MyBody"/>
        <w:rPr>
          <w:lang w:val="nl-NL"/>
        </w:rPr>
      </w:pPr>
    </w:p>
    <w:p w14:paraId="2D397DAB" w14:textId="5480C142" w:rsidR="00F61417" w:rsidRDefault="00000000">
      <w:pPr>
        <w:pStyle w:val="MyBody"/>
        <w:jc w:val="center"/>
      </w:pPr>
      <w:r>
        <w:rPr>
          <w:b/>
          <w:bCs/>
        </w:rPr>
        <w:t xml:space="preserve">This Policy/Position Paper was </w:t>
      </w:r>
      <w:r w:rsidR="003C34A9">
        <w:rPr>
          <w:b/>
          <w:bCs/>
        </w:rPr>
        <w:t xml:space="preserve">adopted per </w:t>
      </w:r>
      <w:r>
        <w:rPr>
          <w:b/>
          <w:bCs/>
        </w:rPr>
        <w:t xml:space="preserve">Section 4, paragraph </w:t>
      </w:r>
      <w:r>
        <w:rPr>
          <w:b/>
          <w:bCs/>
          <w:rtl/>
          <w:lang w:val="ar-SA"/>
        </w:rPr>
        <w:t>“</w:t>
      </w:r>
      <w:r>
        <w:rPr>
          <w:b/>
          <w:bCs/>
        </w:rPr>
        <w:t xml:space="preserve">i” of the </w:t>
      </w:r>
      <w:r w:rsidR="003C34A9">
        <w:rPr>
          <w:b/>
          <w:bCs/>
        </w:rPr>
        <w:t xml:space="preserve">TSEI </w:t>
      </w:r>
      <w:r>
        <w:rPr>
          <w:b/>
          <w:bCs/>
        </w:rPr>
        <w:t xml:space="preserve">ByLaws </w:t>
      </w:r>
      <w:r w:rsidR="003C34A9">
        <w:rPr>
          <w:b/>
          <w:bCs/>
        </w:rPr>
        <w:t xml:space="preserve">dated </w:t>
      </w:r>
      <w:r>
        <w:rPr>
          <w:b/>
          <w:bCs/>
        </w:rPr>
        <w:t>20 July 2022</w:t>
      </w:r>
    </w:p>
    <w:sectPr w:rsidR="00F61417" w:rsidSect="0039005B">
      <w:headerReference w:type="default" r:id="rId15"/>
      <w:footerReference w:type="default" r:id="rId16"/>
      <w:pgSz w:w="12240" w:h="15840"/>
      <w:pgMar w:top="360" w:right="360" w:bottom="360" w:left="36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A54B" w14:textId="77777777" w:rsidR="00C5407A" w:rsidRDefault="00C5407A">
      <w:r>
        <w:separator/>
      </w:r>
    </w:p>
  </w:endnote>
  <w:endnote w:type="continuationSeparator" w:id="0">
    <w:p w14:paraId="6FD46D2E" w14:textId="77777777" w:rsidR="00C5407A" w:rsidRDefault="00C5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F381" w14:textId="77777777" w:rsidR="00F61417" w:rsidRDefault="00000000">
    <w:pPr>
      <w:pStyle w:val="MyBody"/>
      <w:jc w:val="right"/>
    </w:pPr>
    <w:r>
      <w:rPr>
        <w:color w:val="8B0025"/>
      </w:rPr>
      <w:fldChar w:fldCharType="begin"/>
    </w:r>
    <w:r>
      <w:rPr>
        <w:color w:val="8B0025"/>
      </w:rPr>
      <w:instrText xml:space="preserve"> PAGE </w:instrText>
    </w:r>
    <w:r>
      <w:rPr>
        <w:color w:val="8B0025"/>
      </w:rPr>
      <w:fldChar w:fldCharType="separate"/>
    </w:r>
    <w:r w:rsidR="00B94C06">
      <w:rPr>
        <w:noProof/>
        <w:color w:val="8B0025"/>
      </w:rPr>
      <w:t>1</w:t>
    </w:r>
    <w:r>
      <w:rPr>
        <w:color w:val="8B0025"/>
      </w:rPr>
      <w:fldChar w:fldCharType="end"/>
    </w:r>
    <w:r>
      <w:rPr>
        <w:color w:val="8B0025"/>
      </w:rPr>
      <w:t xml:space="preserve"> of </w:t>
    </w:r>
    <w:r>
      <w:rPr>
        <w:color w:val="8B0025"/>
      </w:rPr>
      <w:fldChar w:fldCharType="begin"/>
    </w:r>
    <w:r>
      <w:rPr>
        <w:color w:val="8B0025"/>
      </w:rPr>
      <w:instrText xml:space="preserve"> NUMPAGES </w:instrText>
    </w:r>
    <w:r>
      <w:rPr>
        <w:color w:val="8B0025"/>
      </w:rPr>
      <w:fldChar w:fldCharType="separate"/>
    </w:r>
    <w:r w:rsidR="00B94C06">
      <w:rPr>
        <w:noProof/>
        <w:color w:val="8B0025"/>
      </w:rPr>
      <w:t>2</w:t>
    </w:r>
    <w:r>
      <w:rPr>
        <w:color w:val="8B002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48BC" w14:textId="77777777" w:rsidR="00C5407A" w:rsidRDefault="00C5407A">
      <w:r>
        <w:separator/>
      </w:r>
    </w:p>
  </w:footnote>
  <w:footnote w:type="continuationSeparator" w:id="0">
    <w:p w14:paraId="315F40C1" w14:textId="77777777" w:rsidR="00C5407A" w:rsidRDefault="00C5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7610" w14:textId="7B77D24C" w:rsidR="00F61417" w:rsidRDefault="00000000">
    <w:pPr>
      <w:pStyle w:val="FreeForm"/>
      <w:jc w:val="right"/>
    </w:pPr>
    <w:r>
      <w:rPr>
        <w:sz w:val="28"/>
        <w:szCs w:val="28"/>
      </w:rPr>
      <w:t>Policy/Position Statement 202</w:t>
    </w:r>
    <w:r w:rsidR="0039005B">
      <w:rPr>
        <w:sz w:val="28"/>
        <w:szCs w:val="28"/>
      </w:rPr>
      <w:t>4.0</w:t>
    </w:r>
    <w:r w:rsidR="00892DAE">
      <w:rPr>
        <w:sz w:val="28"/>
        <w:szCs w:val="28"/>
      </w:rPr>
      <w:t>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1787A"/>
    <w:multiLevelType w:val="hybridMultilevel"/>
    <w:tmpl w:val="6E4E35A8"/>
    <w:lvl w:ilvl="0" w:tplc="B54CAFE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0DD5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02CF3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0688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6AE60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7E04F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DC191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06284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32947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40353D"/>
    <w:multiLevelType w:val="hybridMultilevel"/>
    <w:tmpl w:val="2922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C123C"/>
    <w:multiLevelType w:val="hybridMultilevel"/>
    <w:tmpl w:val="70421B1E"/>
    <w:lvl w:ilvl="0" w:tplc="CBAE5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656549">
    <w:abstractNumId w:val="0"/>
  </w:num>
  <w:num w:numId="2" w16cid:durableId="430130943">
    <w:abstractNumId w:val="2"/>
  </w:num>
  <w:num w:numId="3" w16cid:durableId="54475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17"/>
    <w:rsid w:val="000A2922"/>
    <w:rsid w:val="000F4544"/>
    <w:rsid w:val="001C608B"/>
    <w:rsid w:val="002009E5"/>
    <w:rsid w:val="00205D86"/>
    <w:rsid w:val="00206CFC"/>
    <w:rsid w:val="00241A75"/>
    <w:rsid w:val="00247370"/>
    <w:rsid w:val="00266CFF"/>
    <w:rsid w:val="002E6F9A"/>
    <w:rsid w:val="002F5869"/>
    <w:rsid w:val="00384221"/>
    <w:rsid w:val="0039005B"/>
    <w:rsid w:val="003C34A9"/>
    <w:rsid w:val="003F05AE"/>
    <w:rsid w:val="00416747"/>
    <w:rsid w:val="0045433B"/>
    <w:rsid w:val="004E0D27"/>
    <w:rsid w:val="005144B1"/>
    <w:rsid w:val="005156D7"/>
    <w:rsid w:val="005C42AF"/>
    <w:rsid w:val="005F1359"/>
    <w:rsid w:val="0066034F"/>
    <w:rsid w:val="006F0ADE"/>
    <w:rsid w:val="00751CC9"/>
    <w:rsid w:val="007743CC"/>
    <w:rsid w:val="007B1581"/>
    <w:rsid w:val="008475AB"/>
    <w:rsid w:val="00862706"/>
    <w:rsid w:val="00892DAE"/>
    <w:rsid w:val="009150A5"/>
    <w:rsid w:val="00925952"/>
    <w:rsid w:val="0098072E"/>
    <w:rsid w:val="009B7C48"/>
    <w:rsid w:val="00A71878"/>
    <w:rsid w:val="00A80AB2"/>
    <w:rsid w:val="00AB222A"/>
    <w:rsid w:val="00AB536C"/>
    <w:rsid w:val="00AB6A39"/>
    <w:rsid w:val="00AB78DF"/>
    <w:rsid w:val="00B26EAB"/>
    <w:rsid w:val="00B80C7C"/>
    <w:rsid w:val="00B94C06"/>
    <w:rsid w:val="00BD40C0"/>
    <w:rsid w:val="00C47301"/>
    <w:rsid w:val="00C5407A"/>
    <w:rsid w:val="00D8768C"/>
    <w:rsid w:val="00DE0678"/>
    <w:rsid w:val="00E707D3"/>
    <w:rsid w:val="00EA220B"/>
    <w:rsid w:val="00EA3A74"/>
    <w:rsid w:val="00EA673A"/>
    <w:rsid w:val="00F101BC"/>
    <w:rsid w:val="00F61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53CE"/>
  <w15:docId w15:val="{29E22AF8-9A9F-41AD-AAA5-9B3AC3B4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200"/>
    </w:pPr>
    <w:rPr>
      <w:rFonts w:ascii="Helvetica Neue" w:hAnsi="Helvetica Neue" w:cs="Arial Unicode MS"/>
      <w:b/>
      <w:bCs/>
      <w:color w:val="000000"/>
      <w:sz w:val="24"/>
      <w:szCs w:val="24"/>
      <w14:textOutline w14:w="0" w14:cap="flat" w14:cmpd="sng" w14:algn="ctr">
        <w14:noFill/>
        <w14:prstDash w14:val="solid"/>
        <w14:bevel/>
      </w14:textOutline>
    </w:rPr>
  </w:style>
  <w:style w:type="paragraph" w:customStyle="1" w:styleId="MyBody">
    <w:name w:val="My Body"/>
    <w:pPr>
      <w:spacing w:after="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yHeading">
    <w:name w:val="My Heading"/>
    <w:pPr>
      <w:spacing w:after="200"/>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character" w:customStyle="1" w:styleId="Hyperlink0">
    <w:name w:val="Hyperlink.0"/>
    <w:basedOn w:val="Hyperlink"/>
    <w:rPr>
      <w:outline w:val="0"/>
      <w:color w:val="000099"/>
      <w:u w:val="single"/>
    </w:rPr>
  </w:style>
  <w:style w:type="paragraph" w:styleId="Revision">
    <w:name w:val="Revision"/>
    <w:hidden/>
    <w:uiPriority w:val="99"/>
    <w:semiHidden/>
    <w:rsid w:val="00B94C0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F101BC"/>
    <w:rPr>
      <w:color w:val="605E5C"/>
      <w:shd w:val="clear" w:color="auto" w:fill="E1DFDD"/>
    </w:rPr>
  </w:style>
  <w:style w:type="character" w:styleId="CommentReference">
    <w:name w:val="annotation reference"/>
    <w:basedOn w:val="DefaultParagraphFont"/>
    <w:uiPriority w:val="99"/>
    <w:semiHidden/>
    <w:unhideWhenUsed/>
    <w:rsid w:val="00F101BC"/>
    <w:rPr>
      <w:sz w:val="16"/>
      <w:szCs w:val="16"/>
    </w:rPr>
  </w:style>
  <w:style w:type="paragraph" w:styleId="CommentText">
    <w:name w:val="annotation text"/>
    <w:basedOn w:val="Normal"/>
    <w:link w:val="CommentTextChar"/>
    <w:uiPriority w:val="99"/>
    <w:unhideWhenUsed/>
    <w:rsid w:val="00F101BC"/>
    <w:rPr>
      <w:sz w:val="20"/>
      <w:szCs w:val="20"/>
    </w:rPr>
  </w:style>
  <w:style w:type="character" w:customStyle="1" w:styleId="CommentTextChar">
    <w:name w:val="Comment Text Char"/>
    <w:basedOn w:val="DefaultParagraphFont"/>
    <w:link w:val="CommentText"/>
    <w:uiPriority w:val="99"/>
    <w:rsid w:val="00F101BC"/>
  </w:style>
  <w:style w:type="paragraph" w:styleId="CommentSubject">
    <w:name w:val="annotation subject"/>
    <w:basedOn w:val="CommentText"/>
    <w:next w:val="CommentText"/>
    <w:link w:val="CommentSubjectChar"/>
    <w:uiPriority w:val="99"/>
    <w:semiHidden/>
    <w:unhideWhenUsed/>
    <w:rsid w:val="00F101BC"/>
    <w:rPr>
      <w:b/>
      <w:bCs/>
    </w:rPr>
  </w:style>
  <w:style w:type="character" w:customStyle="1" w:styleId="CommentSubjectChar">
    <w:name w:val="Comment Subject Char"/>
    <w:basedOn w:val="CommentTextChar"/>
    <w:link w:val="CommentSubject"/>
    <w:uiPriority w:val="99"/>
    <w:semiHidden/>
    <w:rsid w:val="00F101BC"/>
    <w:rPr>
      <w:b/>
      <w:bCs/>
    </w:rPr>
  </w:style>
  <w:style w:type="paragraph" w:styleId="Header">
    <w:name w:val="header"/>
    <w:basedOn w:val="Normal"/>
    <w:link w:val="HeaderChar"/>
    <w:uiPriority w:val="99"/>
    <w:unhideWhenUsed/>
    <w:rsid w:val="0039005B"/>
    <w:pPr>
      <w:tabs>
        <w:tab w:val="center" w:pos="4680"/>
        <w:tab w:val="right" w:pos="9360"/>
      </w:tabs>
    </w:pPr>
  </w:style>
  <w:style w:type="character" w:customStyle="1" w:styleId="HeaderChar">
    <w:name w:val="Header Char"/>
    <w:basedOn w:val="DefaultParagraphFont"/>
    <w:link w:val="Header"/>
    <w:uiPriority w:val="99"/>
    <w:rsid w:val="0039005B"/>
    <w:rPr>
      <w:sz w:val="24"/>
      <w:szCs w:val="24"/>
    </w:rPr>
  </w:style>
  <w:style w:type="paragraph" w:styleId="Footer">
    <w:name w:val="footer"/>
    <w:basedOn w:val="Normal"/>
    <w:link w:val="FooterChar"/>
    <w:uiPriority w:val="99"/>
    <w:unhideWhenUsed/>
    <w:rsid w:val="0039005B"/>
    <w:pPr>
      <w:tabs>
        <w:tab w:val="center" w:pos="4680"/>
        <w:tab w:val="right" w:pos="9360"/>
      </w:tabs>
    </w:pPr>
  </w:style>
  <w:style w:type="character" w:customStyle="1" w:styleId="FooterChar">
    <w:name w:val="Footer Char"/>
    <w:basedOn w:val="DefaultParagraphFont"/>
    <w:link w:val="Footer"/>
    <w:uiPriority w:val="99"/>
    <w:rsid w:val="003900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ginfo.gov/public/do/eAgendaViewRule?pubId=202304&amp;RIN=2127-AL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info.gov/public/do/eAgendaMain?operation=OPERATION_GET_AGENCY_RULE_LIST&amp;currentPubId=202304&amp;showStage=longterm&amp;agencyCd=2100&amp;csrf_token=614B67E4F64BCB56A550EDF77DD7BB2E0AFE7F8ACC20815E2F7B22A91A0816A9622BA036E1ECDBC773D1891B59B25B91F1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nfo.gov/public/do/eAgendaMain?operation=OPERATION_GET_AGENCY_RULE_LIST&amp;currentPub=true&amp;agencyCode=&amp;showStage=active&amp;agencyCd=2100&amp;csrf_token=614B67E4F64BCB56A550EDF77DD7BB2E0AFE7F8ACC20815E2F7B22A91A0816A9622BA036E1ECDBC773D1891B59B25B91F1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tsa.gov/interpretations/07-003933as" TargetMode="External"/><Relationship Id="rId4" Type="http://schemas.openxmlformats.org/officeDocument/2006/relationships/webSettings" Target="webSettings.xml"/><Relationship Id="rId9" Type="http://schemas.openxmlformats.org/officeDocument/2006/relationships/hyperlink" Target="https://www.nhtsa.gov/interpretations/07-003933as" TargetMode="External"/><Relationship Id="rId14" Type="http://schemas.openxmlformats.org/officeDocument/2006/relationships/hyperlink" Target="https://lindseyresearch.com/wp-content/uploads/2021/02/NHTSA-2020-0109-0012-20210208_Bosch_response_ANPRM_FMVSS_Final_Version.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1000"/>
          </a:spcBef>
          <a:spcAft>
            <a:spcPts val="0"/>
          </a:spcAft>
          <a:buClrTx/>
          <a:buSzTx/>
          <a:buFontTx/>
          <a:buNone/>
          <a:tabLst/>
          <a:defRPr kumimoji="0" sz="1200" b="1"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200" b="1"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f9dda1df-3fca-45c7-91be-5629a3733338}" enabled="1" method="Standard" siteId="{ec1ca250-c234-4d56-a76b-7dfb9eee0c4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ams OSRAM</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Schafer</dc:creator>
  <cp:lastModifiedBy>Paul Menig</cp:lastModifiedBy>
  <cp:revision>2</cp:revision>
  <dcterms:created xsi:type="dcterms:W3CDTF">2024-08-08T18:05:00Z</dcterms:created>
  <dcterms:modified xsi:type="dcterms:W3CDTF">2024-08-08T18:05:00Z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15701d-57c1-4a18-b384-ad79f7cd8189_Enabled">
    <vt:lpwstr>true</vt:lpwstr>
  </property>
  <property fmtid="{D5CDD505-2E9C-101B-9397-08002B2CF9AE}" pid="3" name="MSIP_Label_b615701d-57c1-4a18-b384-ad79f7cd8189_SetDate">
    <vt:lpwstr>2024-06-20T02:59:02Z</vt:lpwstr>
  </property>
  <property fmtid="{D5CDD505-2E9C-101B-9397-08002B2CF9AE}" pid="4" name="MSIP_Label_b615701d-57c1-4a18-b384-ad79f7cd8189_Method">
    <vt:lpwstr>Standard</vt:lpwstr>
  </property>
  <property fmtid="{D5CDD505-2E9C-101B-9397-08002B2CF9AE}" pid="5" name="MSIP_Label_b615701d-57c1-4a18-b384-ad79f7cd8189_Name">
    <vt:lpwstr>defa4170-0d19-0005-0004-bc88714345d2</vt:lpwstr>
  </property>
  <property fmtid="{D5CDD505-2E9C-101B-9397-08002B2CF9AE}" pid="6" name="MSIP_Label_b615701d-57c1-4a18-b384-ad79f7cd8189_SiteId">
    <vt:lpwstr>c51f4dbd-dad1-45e5-a5c3-5b8c9799efe6</vt:lpwstr>
  </property>
  <property fmtid="{D5CDD505-2E9C-101B-9397-08002B2CF9AE}" pid="7" name="MSIP_Label_b615701d-57c1-4a18-b384-ad79f7cd8189_ActionId">
    <vt:lpwstr>dbc3e75a-d15a-49bf-9deb-6040b9b5fb0a</vt:lpwstr>
  </property>
  <property fmtid="{D5CDD505-2E9C-101B-9397-08002B2CF9AE}" pid="8" name="MSIP_Label_b615701d-57c1-4a18-b384-ad79f7cd8189_ContentBits">
    <vt:lpwstr>0</vt:lpwstr>
  </property>
</Properties>
</file>